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84FA8" w14:textId="14E08BE0" w:rsidR="00552B4F" w:rsidRPr="0056520D" w:rsidRDefault="00552B4F" w:rsidP="00552B4F">
      <w:pPr>
        <w:pStyle w:val="Header"/>
        <w:rPr>
          <w:lang w:val="de-DE"/>
        </w:rPr>
      </w:pPr>
      <w:r w:rsidRPr="0056520D">
        <w:rPr>
          <w:lang w:val="de-DE"/>
        </w:rPr>
        <w:t>3GPP TSG-RAN WG1</w:t>
      </w:r>
      <w:r>
        <w:rPr>
          <w:lang w:val="de-DE"/>
        </w:rPr>
        <w:t xml:space="preserve"> #</w:t>
      </w:r>
      <w:r>
        <w:t>1</w:t>
      </w:r>
      <w:r w:rsidR="00A82017">
        <w:t>1</w:t>
      </w:r>
      <w:r w:rsidR="00713366">
        <w:t>2b-e</w:t>
      </w:r>
      <w:r>
        <w:tab/>
      </w:r>
      <w:r>
        <w:rPr>
          <w:lang w:val="de-DE"/>
        </w:rPr>
        <w:tab/>
      </w:r>
      <w:r w:rsidR="00CE0956" w:rsidRPr="00CE0956">
        <w:rPr>
          <w:lang w:val="de-DE"/>
        </w:rPr>
        <w:t>R1-2303764</w:t>
      </w:r>
    </w:p>
    <w:p w14:paraId="4044C795" w14:textId="663AA5C6" w:rsidR="00552B4F" w:rsidRDefault="00713366" w:rsidP="00552B4F">
      <w:pPr>
        <w:pStyle w:val="Header"/>
        <w:rPr>
          <w:lang w:val="de-DE"/>
        </w:rPr>
      </w:pPr>
      <w:r>
        <w:rPr>
          <w:lang w:val="de-DE"/>
        </w:rPr>
        <w:t>eMeeting</w:t>
      </w:r>
      <w:r w:rsidR="00552B4F">
        <w:rPr>
          <w:lang w:val="de-DE"/>
        </w:rPr>
        <w:t xml:space="preserve">, </w:t>
      </w:r>
      <w:r>
        <w:rPr>
          <w:lang w:val="de-DE"/>
        </w:rPr>
        <w:t>Apr</w:t>
      </w:r>
      <w:r w:rsidR="00A82017">
        <w:rPr>
          <w:lang w:val="de-DE"/>
        </w:rPr>
        <w:t xml:space="preserve"> </w:t>
      </w:r>
      <w:r w:rsidR="00D62628">
        <w:rPr>
          <w:lang w:val="de-DE"/>
        </w:rPr>
        <w:t>1</w:t>
      </w:r>
      <w:r>
        <w:rPr>
          <w:lang w:val="de-DE"/>
        </w:rPr>
        <w:t>7</w:t>
      </w:r>
      <w:r w:rsidR="00AF5A12">
        <w:rPr>
          <w:lang w:val="de-DE"/>
        </w:rPr>
        <w:t>-</w:t>
      </w:r>
      <w:r>
        <w:rPr>
          <w:lang w:val="de-DE"/>
        </w:rPr>
        <w:t>26</w:t>
      </w:r>
      <w:r w:rsidR="00552B4F">
        <w:rPr>
          <w:lang w:val="de-DE"/>
        </w:rPr>
        <w:t>, 202</w:t>
      </w:r>
      <w:r>
        <w:rPr>
          <w:lang w:val="de-DE"/>
        </w:rPr>
        <w:t>3</w:t>
      </w:r>
    </w:p>
    <w:p w14:paraId="29A97A05" w14:textId="77777777" w:rsidR="00552B4F" w:rsidRPr="000833FA" w:rsidRDefault="00552B4F" w:rsidP="00552B4F">
      <w:pPr>
        <w:pStyle w:val="Header"/>
      </w:pPr>
    </w:p>
    <w:p w14:paraId="65BAD1F4" w14:textId="77777777" w:rsidR="00552B4F" w:rsidRPr="0003368D" w:rsidRDefault="00552B4F" w:rsidP="00552B4F">
      <w:pPr>
        <w:pStyle w:val="Header"/>
        <w:tabs>
          <w:tab w:val="clear" w:pos="4536"/>
          <w:tab w:val="left" w:pos="1800"/>
        </w:tabs>
        <w:ind w:left="1800" w:hanging="1800"/>
      </w:pPr>
      <w:r w:rsidRPr="0003368D">
        <w:t>Source:</w:t>
      </w:r>
      <w:r w:rsidRPr="0003368D">
        <w:tab/>
        <w:t>Ericsson</w:t>
      </w:r>
    </w:p>
    <w:p w14:paraId="4B156A10" w14:textId="6B310D80" w:rsidR="00552B4F" w:rsidRPr="00E220C0" w:rsidRDefault="00552B4F" w:rsidP="00552B4F">
      <w:pPr>
        <w:pStyle w:val="Header"/>
        <w:tabs>
          <w:tab w:val="clear" w:pos="4536"/>
          <w:tab w:val="left" w:pos="1800"/>
        </w:tabs>
      </w:pPr>
      <w:r w:rsidRPr="0003368D">
        <w:t>Title:</w:t>
      </w:r>
      <w:bookmarkStart w:id="0" w:name="Title"/>
      <w:bookmarkEnd w:id="0"/>
      <w:r w:rsidRPr="0003368D">
        <w:tab/>
      </w:r>
      <w:r w:rsidR="001A0D64">
        <w:t>UE features for Rel18 DSS Enhancements</w:t>
      </w:r>
    </w:p>
    <w:p w14:paraId="0F92BB49" w14:textId="117334E1" w:rsidR="00552B4F" w:rsidRPr="00E220C0" w:rsidRDefault="00552B4F" w:rsidP="00552B4F">
      <w:pPr>
        <w:pStyle w:val="Header"/>
        <w:tabs>
          <w:tab w:val="left" w:pos="1800"/>
        </w:tabs>
      </w:pPr>
      <w:r w:rsidRPr="00E220C0">
        <w:t>Agenda Item:</w:t>
      </w:r>
      <w:bookmarkStart w:id="1" w:name="Source"/>
      <w:bookmarkEnd w:id="1"/>
      <w:r w:rsidRPr="00E220C0">
        <w:tab/>
      </w:r>
      <w:r w:rsidR="001A0D64">
        <w:t>9</w:t>
      </w:r>
      <w:r w:rsidR="00AF5A12">
        <w:t>.1</w:t>
      </w:r>
      <w:r w:rsidR="001A0D64">
        <w:t>7.14</w:t>
      </w:r>
    </w:p>
    <w:p w14:paraId="0B27A056" w14:textId="77777777" w:rsidR="00552B4F" w:rsidRPr="0003368D" w:rsidRDefault="00552B4F" w:rsidP="00552B4F">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0A3EBB4B" w14:textId="77777777" w:rsidR="00552B4F" w:rsidRPr="002100D2" w:rsidRDefault="00552B4F" w:rsidP="00552B4F">
      <w:pPr>
        <w:pBdr>
          <w:bottom w:val="single" w:sz="4" w:space="1" w:color="auto"/>
        </w:pBdr>
        <w:tabs>
          <w:tab w:val="left" w:pos="2552"/>
        </w:tabs>
      </w:pPr>
    </w:p>
    <w:p w14:paraId="23A3DAA1" w14:textId="77777777" w:rsidR="00552B4F" w:rsidRDefault="00552B4F" w:rsidP="00552B4F">
      <w:pPr>
        <w:pStyle w:val="Heading1"/>
        <w:spacing w:before="180"/>
        <w:ind w:left="562" w:hanging="562"/>
      </w:pPr>
      <w:r>
        <w:t>Introduction</w:t>
      </w:r>
    </w:p>
    <w:p w14:paraId="43538F2C" w14:textId="12955813" w:rsidR="001A0D64" w:rsidRDefault="001A0D64" w:rsidP="00EF2F11">
      <w:pPr>
        <w:pStyle w:val="BodyText"/>
        <w:rPr>
          <w:szCs w:val="20"/>
        </w:rPr>
      </w:pPr>
      <w:r>
        <w:rPr>
          <w:szCs w:val="20"/>
        </w:rPr>
        <w:t>Below two features are agreed to be introduced in Rel18 DSS Enhancements WI</w:t>
      </w:r>
    </w:p>
    <w:p w14:paraId="066089C7" w14:textId="7FED56E0" w:rsidR="001A0D64" w:rsidRDefault="001A0D64" w:rsidP="001A0D64">
      <w:pPr>
        <w:pStyle w:val="BodyText"/>
        <w:numPr>
          <w:ilvl w:val="0"/>
          <w:numId w:val="27"/>
        </w:numPr>
        <w:rPr>
          <w:szCs w:val="20"/>
        </w:rPr>
      </w:pPr>
      <w:r w:rsidRPr="001A0D64">
        <w:rPr>
          <w:szCs w:val="20"/>
        </w:rPr>
        <w:t>Reception of NR PDCCH candidates that overlap with LTE CRS REs</w:t>
      </w:r>
    </w:p>
    <w:p w14:paraId="13DFF0EE" w14:textId="5CD29C29" w:rsidR="001A0D64" w:rsidRPr="006C6407" w:rsidRDefault="006C6407" w:rsidP="00EF2F11">
      <w:pPr>
        <w:pStyle w:val="BodyText"/>
        <w:numPr>
          <w:ilvl w:val="0"/>
          <w:numId w:val="27"/>
        </w:numPr>
        <w:rPr>
          <w:szCs w:val="20"/>
        </w:rPr>
      </w:pPr>
      <w:r>
        <w:rPr>
          <w:szCs w:val="20"/>
        </w:rPr>
        <w:t xml:space="preserve">Enabling </w:t>
      </w:r>
      <w:r w:rsidRPr="006C6407">
        <w:rPr>
          <w:szCs w:val="20"/>
        </w:rPr>
        <w:t>UE</w:t>
      </w:r>
      <w:r>
        <w:rPr>
          <w:szCs w:val="20"/>
        </w:rPr>
        <w:t>s</w:t>
      </w:r>
      <w:r w:rsidRPr="006C6407">
        <w:rPr>
          <w:szCs w:val="20"/>
        </w:rPr>
        <w:t xml:space="preserve"> to support, and be configured with, two overlapping CRS rate matching patterns regardless of support or configuration of multi-TRP</w:t>
      </w:r>
    </w:p>
    <w:p w14:paraId="6659A7A8" w14:textId="6419E3E9" w:rsidR="00051309" w:rsidRPr="00AF5A12" w:rsidRDefault="00552B4F" w:rsidP="00EF2F11">
      <w:pPr>
        <w:pStyle w:val="BodyText"/>
        <w:rPr>
          <w:i/>
          <w:iCs/>
          <w:lang w:eastAsia="zh-CN"/>
        </w:rPr>
      </w:pPr>
      <w:r w:rsidRPr="00210E79">
        <w:rPr>
          <w:szCs w:val="20"/>
        </w:rPr>
        <w:t xml:space="preserve">In this document, </w:t>
      </w:r>
      <w:r>
        <w:rPr>
          <w:szCs w:val="20"/>
        </w:rPr>
        <w:t xml:space="preserve">we </w:t>
      </w:r>
      <w:r w:rsidR="001A0D64">
        <w:rPr>
          <w:szCs w:val="20"/>
        </w:rPr>
        <w:t xml:space="preserve">provide our view on UE </w:t>
      </w:r>
      <w:r w:rsidR="006C6407">
        <w:rPr>
          <w:szCs w:val="20"/>
        </w:rPr>
        <w:t xml:space="preserve">capability details for reception of </w:t>
      </w:r>
      <w:r w:rsidR="006C6407" w:rsidRPr="001A0D64">
        <w:rPr>
          <w:szCs w:val="20"/>
        </w:rPr>
        <w:t xml:space="preserve">NR PDCCH candidates that overlap with LTE CRS </w:t>
      </w:r>
      <w:proofErr w:type="spellStart"/>
      <w:r w:rsidR="006C6407" w:rsidRPr="001A0D64">
        <w:rPr>
          <w:szCs w:val="20"/>
        </w:rPr>
        <w:t>REs</w:t>
      </w:r>
      <w:r w:rsidR="006C6407">
        <w:rPr>
          <w:szCs w:val="20"/>
        </w:rPr>
        <w:t>.</w:t>
      </w:r>
      <w:proofErr w:type="spellEnd"/>
      <w:r w:rsidR="006C6407">
        <w:rPr>
          <w:szCs w:val="20"/>
        </w:rPr>
        <w:t xml:space="preserve"> Capability details for the other feature were agreed in RAN1#109-e.</w:t>
      </w:r>
    </w:p>
    <w:p w14:paraId="0AFDA991" w14:textId="67D7CA24" w:rsidR="00552B4F" w:rsidRDefault="00552B4F" w:rsidP="00552B4F">
      <w:pPr>
        <w:pStyle w:val="Heading1"/>
      </w:pPr>
      <w:r>
        <w:t>Discussion</w:t>
      </w:r>
    </w:p>
    <w:p w14:paraId="363DBEF6" w14:textId="0562CE0B" w:rsidR="00DC6BB6" w:rsidRDefault="00DC6BB6" w:rsidP="00EF2F11">
      <w:pPr>
        <w:pStyle w:val="BodyText"/>
      </w:pPr>
      <w:r>
        <w:t>Following was agreed in RAN1#110</w:t>
      </w:r>
      <w:r w:rsidR="00CE0956">
        <w:t>:</w:t>
      </w:r>
    </w:p>
    <w:p w14:paraId="09222925" w14:textId="77777777" w:rsidR="00DC6BB6" w:rsidRPr="00DC6BB6" w:rsidRDefault="00DC6BB6" w:rsidP="00DC6BB6">
      <w:pPr>
        <w:ind w:left="720"/>
        <w:rPr>
          <w:rFonts w:ascii="Times" w:eastAsia="Batang" w:hAnsi="Times"/>
          <w:b/>
          <w:bCs/>
          <w:strike/>
          <w:sz w:val="18"/>
          <w:szCs w:val="22"/>
          <w:highlight w:val="green"/>
          <w:lang w:val="en-GB"/>
        </w:rPr>
      </w:pPr>
      <w:r w:rsidRPr="00DC6BB6">
        <w:rPr>
          <w:rFonts w:ascii="Times" w:eastAsia="Batang" w:hAnsi="Times"/>
          <w:b/>
          <w:bCs/>
          <w:sz w:val="18"/>
          <w:szCs w:val="22"/>
          <w:highlight w:val="green"/>
          <w:lang w:val="en-GB"/>
        </w:rPr>
        <w:t>Agreement</w:t>
      </w:r>
    </w:p>
    <w:p w14:paraId="7E912C15" w14:textId="77777777" w:rsidR="00DC6BB6" w:rsidRPr="00DC6BB6" w:rsidRDefault="00DC6BB6" w:rsidP="00DC6BB6">
      <w:pPr>
        <w:ind w:left="720"/>
        <w:rPr>
          <w:rFonts w:ascii="Times" w:eastAsia="Batang" w:hAnsi="Times"/>
          <w:sz w:val="18"/>
          <w:szCs w:val="22"/>
          <w:lang w:val="en-GB"/>
        </w:rPr>
      </w:pPr>
      <w:r w:rsidRPr="00DC6BB6">
        <w:rPr>
          <w:rFonts w:ascii="Times" w:eastAsia="Batang" w:hAnsi="Times"/>
          <w:sz w:val="18"/>
          <w:szCs w:val="22"/>
          <w:lang w:val="en-GB"/>
        </w:rPr>
        <w:t>Reception of NR PDCCH candidates that overlap with LTE CRS REs is supported by Rel18 UEs</w:t>
      </w:r>
    </w:p>
    <w:p w14:paraId="225511F3" w14:textId="77777777" w:rsidR="00DC6BB6" w:rsidRPr="00DC6BB6" w:rsidRDefault="00DC6BB6" w:rsidP="00DC6BB6">
      <w:pPr>
        <w:ind w:left="720"/>
        <w:rPr>
          <w:rFonts w:ascii="Times" w:eastAsia="DengXian" w:hAnsi="Times"/>
          <w:sz w:val="18"/>
          <w:szCs w:val="22"/>
          <w:lang w:val="en-GB" w:eastAsia="zh-CN"/>
        </w:rPr>
      </w:pPr>
      <w:r w:rsidRPr="00DC6BB6">
        <w:rPr>
          <w:rFonts w:ascii="Times" w:eastAsia="DengXian" w:hAnsi="Times" w:hint="eastAsia"/>
          <w:sz w:val="18"/>
          <w:szCs w:val="22"/>
          <w:lang w:val="en-GB" w:eastAsia="zh-CN"/>
        </w:rPr>
        <w:t>P</w:t>
      </w:r>
      <w:r w:rsidRPr="00DC6BB6">
        <w:rPr>
          <w:rFonts w:ascii="Times" w:eastAsia="DengXian" w:hAnsi="Times"/>
          <w:sz w:val="18"/>
          <w:szCs w:val="22"/>
          <w:lang w:val="en-GB" w:eastAsia="zh-CN"/>
        </w:rPr>
        <w:t>DCCH candidates and PDCCH-DMRS RE mapping are based on that of R15 from UE side.</w:t>
      </w:r>
    </w:p>
    <w:p w14:paraId="349E558B" w14:textId="77777777" w:rsidR="00DC6BB6" w:rsidRPr="00DC6BB6" w:rsidRDefault="00DC6BB6" w:rsidP="00DC6BB6">
      <w:pPr>
        <w:ind w:left="720"/>
        <w:rPr>
          <w:rFonts w:ascii="Times" w:eastAsia="Batang" w:hAnsi="Times"/>
          <w:sz w:val="18"/>
          <w:szCs w:val="22"/>
          <w:lang w:val="en-GB"/>
        </w:rPr>
      </w:pPr>
      <w:r w:rsidRPr="00DC6BB6">
        <w:rPr>
          <w:rFonts w:ascii="Times" w:eastAsia="Batang" w:hAnsi="Times"/>
          <w:sz w:val="18"/>
          <w:szCs w:val="22"/>
          <w:lang w:val="en-GB"/>
        </w:rPr>
        <w:t xml:space="preserve">Note: depends on UE capability </w:t>
      </w:r>
    </w:p>
    <w:p w14:paraId="39448D2A" w14:textId="77777777" w:rsidR="00DC6BB6" w:rsidRPr="00DC6BB6" w:rsidRDefault="00DC6BB6" w:rsidP="00DC6BB6">
      <w:pPr>
        <w:ind w:left="720"/>
        <w:rPr>
          <w:rFonts w:ascii="Times" w:eastAsia="Batang" w:hAnsi="Times"/>
          <w:sz w:val="18"/>
          <w:szCs w:val="22"/>
          <w:lang w:val="en-GB"/>
        </w:rPr>
      </w:pPr>
      <w:r w:rsidRPr="00DC6BB6">
        <w:rPr>
          <w:rFonts w:ascii="Times" w:eastAsia="Batang" w:hAnsi="Times"/>
          <w:sz w:val="18"/>
          <w:szCs w:val="22"/>
          <w:lang w:val="en-GB"/>
        </w:rPr>
        <w:t>Following options can be used for PDCCH-DMRS channel estimation</w:t>
      </w:r>
    </w:p>
    <w:p w14:paraId="15E84BAB" w14:textId="77777777" w:rsidR="00DC6BB6" w:rsidRPr="00DC6BB6" w:rsidRDefault="00DC6BB6" w:rsidP="00DC6BB6">
      <w:pPr>
        <w:widowControl w:val="0"/>
        <w:numPr>
          <w:ilvl w:val="0"/>
          <w:numId w:val="8"/>
        </w:numPr>
        <w:ind w:left="1140"/>
        <w:jc w:val="both"/>
        <w:rPr>
          <w:rFonts w:ascii="Times" w:eastAsia="Batang" w:hAnsi="Times"/>
          <w:sz w:val="18"/>
          <w:szCs w:val="22"/>
          <w:lang w:val="en-GB" w:eastAsia="x-none"/>
        </w:rPr>
      </w:pPr>
      <w:r w:rsidRPr="00DC6BB6">
        <w:rPr>
          <w:rFonts w:ascii="Times" w:eastAsia="Batang" w:hAnsi="Times"/>
          <w:sz w:val="18"/>
          <w:szCs w:val="22"/>
          <w:lang w:val="en-GB" w:eastAsia="x-none"/>
        </w:rPr>
        <w:t xml:space="preserve">legacy CE assumption </w:t>
      </w:r>
    </w:p>
    <w:p w14:paraId="0BAB9692" w14:textId="77777777" w:rsidR="00DC6BB6" w:rsidRPr="00DC6BB6" w:rsidRDefault="00DC6BB6" w:rsidP="00DC6BB6">
      <w:pPr>
        <w:widowControl w:val="0"/>
        <w:numPr>
          <w:ilvl w:val="1"/>
          <w:numId w:val="8"/>
        </w:numPr>
        <w:ind w:left="1560"/>
        <w:jc w:val="both"/>
        <w:rPr>
          <w:rFonts w:ascii="Times" w:eastAsia="Batang" w:hAnsi="Times"/>
          <w:sz w:val="18"/>
          <w:szCs w:val="22"/>
          <w:lang w:val="en-GB" w:eastAsia="x-none"/>
        </w:rPr>
      </w:pPr>
      <w:r w:rsidRPr="00DC6BB6">
        <w:rPr>
          <w:rFonts w:ascii="Times" w:eastAsia="Batang" w:hAnsi="Times"/>
          <w:sz w:val="18"/>
          <w:szCs w:val="22"/>
          <w:lang w:val="en-GB" w:eastAsia="x-none"/>
        </w:rPr>
        <w:t>RAN1 consider support this, if no RAN4 performance requirements are defined</w:t>
      </w:r>
    </w:p>
    <w:p w14:paraId="50BC2266" w14:textId="77777777" w:rsidR="00DC6BB6" w:rsidRPr="00DC6BB6" w:rsidRDefault="00DC6BB6" w:rsidP="00DC6BB6">
      <w:pPr>
        <w:widowControl w:val="0"/>
        <w:numPr>
          <w:ilvl w:val="0"/>
          <w:numId w:val="8"/>
        </w:numPr>
        <w:ind w:left="1140"/>
        <w:jc w:val="both"/>
        <w:rPr>
          <w:rFonts w:ascii="Times" w:eastAsia="Batang" w:hAnsi="Times"/>
          <w:sz w:val="18"/>
          <w:szCs w:val="22"/>
          <w:lang w:val="en-GB" w:eastAsia="x-none"/>
        </w:rPr>
      </w:pPr>
      <w:r w:rsidRPr="00DC6BB6">
        <w:rPr>
          <w:rFonts w:ascii="Times" w:eastAsia="Batang" w:hAnsi="Times"/>
          <w:sz w:val="18"/>
          <w:szCs w:val="22"/>
          <w:lang w:val="en-GB" w:eastAsia="x-none"/>
        </w:rPr>
        <w:t>CE on clean symbol(s) only (this channel estimation option does not apply for 1 symbol CORESET)</w:t>
      </w:r>
    </w:p>
    <w:p w14:paraId="5C808835" w14:textId="77777777" w:rsidR="00DC6BB6" w:rsidRPr="00DC6BB6" w:rsidRDefault="00DC6BB6" w:rsidP="00DC6BB6">
      <w:pPr>
        <w:widowControl w:val="0"/>
        <w:ind w:left="720"/>
        <w:jc w:val="both"/>
        <w:rPr>
          <w:rFonts w:ascii="Times" w:eastAsia="Batang" w:hAnsi="Times"/>
          <w:sz w:val="18"/>
          <w:szCs w:val="22"/>
          <w:lang w:val="en-GB" w:eastAsia="x-none"/>
        </w:rPr>
      </w:pPr>
    </w:p>
    <w:p w14:paraId="49F63B56" w14:textId="77777777" w:rsidR="00DC6BB6" w:rsidRPr="00DC6BB6" w:rsidRDefault="00DC6BB6" w:rsidP="00DC6BB6">
      <w:pPr>
        <w:widowControl w:val="0"/>
        <w:ind w:left="720"/>
        <w:jc w:val="both"/>
        <w:rPr>
          <w:rFonts w:ascii="Times" w:eastAsia="DengXian" w:hAnsi="Times"/>
          <w:sz w:val="18"/>
          <w:szCs w:val="22"/>
          <w:lang w:val="en-GB" w:eastAsia="zh-CN"/>
        </w:rPr>
      </w:pPr>
      <w:r w:rsidRPr="00DC6BB6">
        <w:rPr>
          <w:rFonts w:ascii="Times" w:eastAsia="DengXian" w:hAnsi="Times" w:hint="eastAsia"/>
          <w:sz w:val="18"/>
          <w:szCs w:val="22"/>
          <w:lang w:val="en-GB" w:eastAsia="zh-CN"/>
        </w:rPr>
        <w:t>N</w:t>
      </w:r>
      <w:r w:rsidRPr="00DC6BB6">
        <w:rPr>
          <w:rFonts w:ascii="Times" w:eastAsia="DengXian" w:hAnsi="Times"/>
          <w:sz w:val="18"/>
          <w:szCs w:val="22"/>
          <w:lang w:val="en-GB" w:eastAsia="zh-CN"/>
        </w:rPr>
        <w:t>ote: Restriction on the symbols and/or LTE CRS patterns applicable for above agreements can be considered during UE capability session.</w:t>
      </w:r>
    </w:p>
    <w:p w14:paraId="064F232B" w14:textId="77777777" w:rsidR="00DC6BB6" w:rsidRPr="00DC6BB6" w:rsidRDefault="00DC6BB6" w:rsidP="00DC6BB6">
      <w:pPr>
        <w:widowControl w:val="0"/>
        <w:ind w:left="720"/>
        <w:jc w:val="both"/>
        <w:rPr>
          <w:rFonts w:ascii="Times" w:eastAsia="DengXian" w:hAnsi="Times"/>
          <w:sz w:val="18"/>
          <w:szCs w:val="22"/>
          <w:lang w:val="en-GB" w:eastAsia="zh-CN"/>
        </w:rPr>
      </w:pPr>
    </w:p>
    <w:p w14:paraId="2504E2B1" w14:textId="77777777" w:rsidR="00DC6BB6" w:rsidRPr="00DC6BB6" w:rsidRDefault="00DC6BB6" w:rsidP="00DC6BB6">
      <w:pPr>
        <w:widowControl w:val="0"/>
        <w:ind w:left="720"/>
        <w:jc w:val="both"/>
        <w:rPr>
          <w:rFonts w:ascii="Times" w:eastAsia="DengXian" w:hAnsi="Times"/>
          <w:sz w:val="18"/>
          <w:szCs w:val="22"/>
          <w:lang w:val="en-GB" w:eastAsia="zh-CN"/>
        </w:rPr>
      </w:pPr>
      <w:r w:rsidRPr="00DC6BB6">
        <w:rPr>
          <w:rFonts w:ascii="Times" w:eastAsia="DengXian" w:hAnsi="Times" w:hint="eastAsia"/>
          <w:sz w:val="18"/>
          <w:szCs w:val="22"/>
          <w:lang w:val="en-GB" w:eastAsia="zh-CN"/>
        </w:rPr>
        <w:t>C</w:t>
      </w:r>
      <w:r w:rsidRPr="00DC6BB6">
        <w:rPr>
          <w:rFonts w:ascii="Times" w:eastAsia="DengXian" w:hAnsi="Times"/>
          <w:sz w:val="18"/>
          <w:szCs w:val="22"/>
          <w:lang w:val="en-GB" w:eastAsia="zh-CN"/>
        </w:rPr>
        <w:t>onclusion</w:t>
      </w:r>
    </w:p>
    <w:p w14:paraId="47797160" w14:textId="7701C020" w:rsidR="00DC6BB6" w:rsidRPr="00DC6BB6" w:rsidRDefault="00DC6BB6" w:rsidP="00DC6BB6">
      <w:pPr>
        <w:widowControl w:val="0"/>
        <w:ind w:left="720"/>
        <w:jc w:val="both"/>
        <w:rPr>
          <w:rFonts w:ascii="Times" w:eastAsia="DengXian" w:hAnsi="Times"/>
          <w:sz w:val="18"/>
          <w:szCs w:val="22"/>
          <w:lang w:val="en-GB" w:eastAsia="zh-CN"/>
        </w:rPr>
      </w:pPr>
      <w:r w:rsidRPr="00DC6BB6">
        <w:rPr>
          <w:rFonts w:ascii="Times" w:eastAsia="DengXian" w:hAnsi="Times" w:hint="eastAsia"/>
          <w:sz w:val="18"/>
          <w:szCs w:val="22"/>
          <w:lang w:val="en-GB" w:eastAsia="zh-CN"/>
        </w:rPr>
        <w:t>R</w:t>
      </w:r>
      <w:r w:rsidRPr="00DC6BB6">
        <w:rPr>
          <w:rFonts w:ascii="Times" w:eastAsia="DengXian" w:hAnsi="Times"/>
          <w:sz w:val="18"/>
          <w:szCs w:val="22"/>
          <w:lang w:val="en-GB" w:eastAsia="zh-CN"/>
        </w:rPr>
        <w:t>AN1 understands above agreements applies to 15kHz SCS only.</w:t>
      </w:r>
    </w:p>
    <w:p w14:paraId="193477AD" w14:textId="0CDFD8A1" w:rsidR="00DC6BB6" w:rsidRPr="00DC6BB6" w:rsidRDefault="00DC6BB6" w:rsidP="00DC6BB6">
      <w:pPr>
        <w:widowControl w:val="0"/>
        <w:ind w:left="720"/>
        <w:jc w:val="both"/>
        <w:rPr>
          <w:rFonts w:ascii="Times" w:eastAsia="DengXian" w:hAnsi="Times"/>
          <w:sz w:val="18"/>
          <w:szCs w:val="22"/>
          <w:lang w:val="en-GB" w:eastAsia="zh-CN"/>
        </w:rPr>
      </w:pPr>
    </w:p>
    <w:p w14:paraId="5111E8FF" w14:textId="77777777" w:rsidR="00DC6BB6" w:rsidRPr="00DC6BB6" w:rsidRDefault="00DC6BB6" w:rsidP="00DC6BB6">
      <w:pPr>
        <w:widowControl w:val="0"/>
        <w:ind w:left="720"/>
        <w:jc w:val="both"/>
        <w:rPr>
          <w:rFonts w:ascii="Times" w:eastAsia="Batang" w:hAnsi="Times"/>
          <w:sz w:val="18"/>
          <w:szCs w:val="22"/>
          <w:highlight w:val="green"/>
          <w:lang w:val="en-GB" w:eastAsia="x-none"/>
        </w:rPr>
      </w:pPr>
      <w:r w:rsidRPr="00DC6BB6">
        <w:rPr>
          <w:rFonts w:ascii="Times" w:eastAsia="Batang" w:hAnsi="Times"/>
          <w:sz w:val="18"/>
          <w:szCs w:val="22"/>
          <w:highlight w:val="green"/>
          <w:lang w:val="en-GB" w:eastAsia="x-none"/>
        </w:rPr>
        <w:t>Agreement</w:t>
      </w:r>
    </w:p>
    <w:p w14:paraId="372466DD" w14:textId="77777777" w:rsidR="00DC6BB6" w:rsidRPr="00DC6BB6" w:rsidRDefault="00DC6BB6" w:rsidP="00DC6BB6">
      <w:pPr>
        <w:widowControl w:val="0"/>
        <w:ind w:left="720"/>
        <w:jc w:val="both"/>
        <w:rPr>
          <w:rFonts w:ascii="Times" w:eastAsia="Batang" w:hAnsi="Times"/>
          <w:sz w:val="18"/>
          <w:szCs w:val="22"/>
          <w:lang w:val="en-GB" w:eastAsia="x-none"/>
        </w:rPr>
      </w:pPr>
      <w:r w:rsidRPr="00DC6BB6">
        <w:rPr>
          <w:rFonts w:ascii="Times" w:eastAsia="Batang" w:hAnsi="Times"/>
          <w:sz w:val="18"/>
          <w:szCs w:val="22"/>
          <w:lang w:val="en-GB" w:eastAsia="x-none"/>
        </w:rPr>
        <w:t xml:space="preserve">If the </w:t>
      </w:r>
      <w:r w:rsidRPr="00DC6BB6">
        <w:rPr>
          <w:rFonts w:ascii="Times" w:eastAsia="Batang" w:hAnsi="Times" w:hint="eastAsia"/>
          <w:sz w:val="18"/>
          <w:szCs w:val="22"/>
          <w:lang w:val="en-GB" w:eastAsia="x-none"/>
        </w:rPr>
        <w:t>feature</w:t>
      </w:r>
      <w:r w:rsidRPr="00DC6BB6">
        <w:rPr>
          <w:rFonts w:ascii="Times" w:eastAsia="Batang" w:hAnsi="Times"/>
          <w:sz w:val="18"/>
          <w:szCs w:val="22"/>
          <w:lang w:val="en-GB" w:eastAsia="x-none"/>
        </w:rPr>
        <w:t xml:space="preserve"> </w:t>
      </w:r>
      <w:r w:rsidRPr="00DC6BB6">
        <w:rPr>
          <w:rFonts w:ascii="Times" w:eastAsia="Batang" w:hAnsi="Times" w:hint="eastAsia"/>
          <w:sz w:val="18"/>
          <w:szCs w:val="22"/>
          <w:lang w:val="en-GB" w:eastAsia="x-none"/>
        </w:rPr>
        <w:t>“</w:t>
      </w:r>
      <w:r w:rsidRPr="00DC6BB6">
        <w:rPr>
          <w:rFonts w:ascii="Times" w:eastAsia="Batang" w:hAnsi="Times"/>
          <w:sz w:val="18"/>
          <w:szCs w:val="22"/>
          <w:lang w:val="en-GB" w:eastAsia="x-none"/>
        </w:rPr>
        <w:t xml:space="preserve">Reception of NR PDCCH candidates that overlap with LTE CRS REs </w:t>
      </w:r>
      <w:r w:rsidRPr="00DC6BB6">
        <w:rPr>
          <w:rFonts w:ascii="Times" w:eastAsia="Batang" w:hAnsi="Times" w:hint="eastAsia"/>
          <w:sz w:val="18"/>
          <w:szCs w:val="22"/>
          <w:lang w:val="en-GB" w:eastAsia="x-none"/>
        </w:rPr>
        <w:t>“</w:t>
      </w:r>
      <w:r w:rsidRPr="00DC6BB6">
        <w:rPr>
          <w:rFonts w:ascii="Times" w:eastAsia="Batang" w:hAnsi="Times"/>
          <w:sz w:val="18"/>
          <w:szCs w:val="22"/>
          <w:lang w:val="en-GB" w:eastAsia="x-none"/>
        </w:rPr>
        <w:t>is supported,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p w14:paraId="0286557C" w14:textId="77777777" w:rsidR="00DC6BB6" w:rsidRPr="00DC6BB6" w:rsidRDefault="00DC6BB6" w:rsidP="00DC6BB6">
      <w:pPr>
        <w:widowControl w:val="0"/>
        <w:jc w:val="both"/>
        <w:rPr>
          <w:rFonts w:ascii="Times" w:eastAsia="DengXian" w:hAnsi="Times"/>
          <w:lang w:val="en-GB" w:eastAsia="zh-CN"/>
        </w:rPr>
      </w:pPr>
    </w:p>
    <w:p w14:paraId="134892CC" w14:textId="4AFF5605" w:rsidR="00A7503D" w:rsidRDefault="007F2D14" w:rsidP="00EF2F11">
      <w:pPr>
        <w:pStyle w:val="BodyText"/>
      </w:pPr>
      <w:r>
        <w:t xml:space="preserve">Some aspects related to UE capabilities were discussed in </w:t>
      </w:r>
      <w:r w:rsidRPr="007F2D14">
        <w:t>[110bis-e-R18-Others-01]</w:t>
      </w:r>
      <w:r>
        <w:t xml:space="preserve"> email thread but no agreements/conclusions were made [1]. </w:t>
      </w:r>
    </w:p>
    <w:p w14:paraId="637B4830" w14:textId="2A57A70E" w:rsidR="006751D5" w:rsidRDefault="00822648" w:rsidP="00EF2F11">
      <w:pPr>
        <w:pStyle w:val="BodyText"/>
      </w:pPr>
      <w:r>
        <w:t xml:space="preserve">One aspect </w:t>
      </w:r>
      <w:r w:rsidR="007F2D14">
        <w:t xml:space="preserve">is restriction on </w:t>
      </w:r>
      <w:r w:rsidR="006751D5">
        <w:t xml:space="preserve">symbols in which </w:t>
      </w:r>
      <w:r w:rsidR="006751D5">
        <w:rPr>
          <w:rFonts w:ascii="Times" w:eastAsia="Batang" w:hAnsi="Times"/>
          <w:sz w:val="18"/>
          <w:szCs w:val="22"/>
          <w:lang w:val="en-GB" w:eastAsia="x-none"/>
        </w:rPr>
        <w:t>r</w:t>
      </w:r>
      <w:r w:rsidR="006751D5" w:rsidRPr="00DC6BB6">
        <w:rPr>
          <w:rFonts w:ascii="Times" w:eastAsia="Batang" w:hAnsi="Times"/>
          <w:sz w:val="18"/>
          <w:szCs w:val="22"/>
          <w:lang w:val="en-GB" w:eastAsia="x-none"/>
        </w:rPr>
        <w:t>eception of NR PDCCH candidates that overlap with LTE CRS REs</w:t>
      </w:r>
      <w:r w:rsidR="006751D5">
        <w:rPr>
          <w:rFonts w:ascii="Times" w:eastAsia="Batang" w:hAnsi="Times"/>
          <w:sz w:val="18"/>
          <w:szCs w:val="22"/>
          <w:lang w:val="en-GB" w:eastAsia="x-none"/>
        </w:rPr>
        <w:t xml:space="preserve"> is supported</w:t>
      </w:r>
      <w:r w:rsidR="006751D5">
        <w:t xml:space="preserve">. </w:t>
      </w:r>
      <w:r w:rsidR="00DC6BB6">
        <w:t>As discussed in [</w:t>
      </w:r>
      <w:r w:rsidR="006751D5">
        <w:t>2</w:t>
      </w:r>
      <w:r w:rsidR="00DC6BB6">
        <w:t>]</w:t>
      </w:r>
      <w:r w:rsidR="006751D5">
        <w:t xml:space="preserve"> (and shown in Figure 2-1 below), supporting this feature in second OFDM symbol (s1) enables </w:t>
      </w:r>
      <w:r w:rsidR="006751D5" w:rsidRPr="006751D5">
        <w:t>(2</w:t>
      </w:r>
      <w:r w:rsidR="006751D5">
        <w:t>sym</w:t>
      </w:r>
      <w:r w:rsidR="006751D5" w:rsidRPr="006751D5">
        <w:t xml:space="preserve"> + 11</w:t>
      </w:r>
      <w:r w:rsidR="006751D5">
        <w:t>sym</w:t>
      </w:r>
      <w:r w:rsidR="006751D5" w:rsidRPr="006751D5">
        <w:t>) or (3</w:t>
      </w:r>
      <w:r w:rsidR="006751D5">
        <w:t>sym</w:t>
      </w:r>
      <w:r w:rsidR="006751D5" w:rsidRPr="006751D5">
        <w:t>+10</w:t>
      </w:r>
      <w:r w:rsidR="006751D5">
        <w:t>sym</w:t>
      </w:r>
      <w:r w:rsidR="006751D5" w:rsidRPr="006751D5">
        <w:t>) combination of (NR PDCCH symbols +NR PDSCH symbols)</w:t>
      </w:r>
      <w:r w:rsidR="006751D5">
        <w:t>. Therefore,</w:t>
      </w:r>
      <w:r w:rsidR="00204B9E">
        <w:t xml:space="preserve"> the feature should be supported at leas</w:t>
      </w:r>
      <w:r w:rsidR="00195238">
        <w:t>t</w:t>
      </w:r>
      <w:r w:rsidR="00204B9E">
        <w:t xml:space="preserve"> for s1. Among other candidates (s0, s4, s7, s8, s11), we see some be</w:t>
      </w:r>
      <w:r w:rsidR="00FF5F70">
        <w:t>ne</w:t>
      </w:r>
      <w:r w:rsidR="00204B9E">
        <w:t xml:space="preserve">fit in supporting the feature also for s0 and s4 </w:t>
      </w:r>
      <w:r w:rsidR="00C056DE">
        <w:t>as they enable additional (LTE PDCCH+ NR PDCCH + NR PDSCH) combinations. T</w:t>
      </w:r>
      <w:r w:rsidR="00204B9E">
        <w:t>hese can be supported via additional capability indications.</w:t>
      </w:r>
    </w:p>
    <w:p w14:paraId="4E9CE7CD" w14:textId="556B8C71" w:rsidR="00204B9E" w:rsidRDefault="00204B9E" w:rsidP="00EF2F11">
      <w:pPr>
        <w:pStyle w:val="BodyText"/>
        <w:rPr>
          <w:b/>
          <w:bCs/>
          <w:u w:val="single"/>
        </w:rPr>
      </w:pPr>
      <w:r w:rsidRPr="00204B9E">
        <w:rPr>
          <w:b/>
          <w:bCs/>
          <w:u w:val="single"/>
        </w:rPr>
        <w:t>Proposal 1</w:t>
      </w:r>
    </w:p>
    <w:p w14:paraId="19F7A305" w14:textId="266EFE8B" w:rsidR="00204B9E" w:rsidRPr="00204B9E" w:rsidRDefault="00204B9E" w:rsidP="00204B9E">
      <w:pPr>
        <w:pStyle w:val="BodyText"/>
        <w:numPr>
          <w:ilvl w:val="0"/>
          <w:numId w:val="28"/>
        </w:numPr>
      </w:pPr>
      <w:r>
        <w:rPr>
          <w:rFonts w:ascii="Times" w:eastAsia="Batang" w:hAnsi="Times"/>
          <w:sz w:val="18"/>
          <w:szCs w:val="22"/>
          <w:lang w:val="en-GB" w:eastAsia="x-none"/>
        </w:rPr>
        <w:t>A capability indication for UE support of r</w:t>
      </w:r>
      <w:r w:rsidRPr="00DC6BB6">
        <w:rPr>
          <w:rFonts w:ascii="Times" w:eastAsia="Batang" w:hAnsi="Times"/>
          <w:sz w:val="18"/>
          <w:szCs w:val="22"/>
          <w:lang w:val="en-GB" w:eastAsia="x-none"/>
        </w:rPr>
        <w:t>eception of NR PDCCH candidates that overlap with LTE CRS REs</w:t>
      </w:r>
      <w:r>
        <w:rPr>
          <w:rFonts w:ascii="Times" w:eastAsia="Batang" w:hAnsi="Times"/>
          <w:sz w:val="18"/>
          <w:szCs w:val="22"/>
          <w:lang w:val="en-GB" w:eastAsia="x-none"/>
        </w:rPr>
        <w:t xml:space="preserve"> in 2</w:t>
      </w:r>
      <w:r w:rsidRPr="00204B9E">
        <w:rPr>
          <w:rFonts w:ascii="Times" w:eastAsia="Batang" w:hAnsi="Times"/>
          <w:sz w:val="18"/>
          <w:szCs w:val="22"/>
          <w:vertAlign w:val="superscript"/>
          <w:lang w:val="en-GB" w:eastAsia="x-none"/>
        </w:rPr>
        <w:t>nd</w:t>
      </w:r>
      <w:r>
        <w:rPr>
          <w:rFonts w:ascii="Times" w:eastAsia="Batang" w:hAnsi="Times"/>
          <w:sz w:val="18"/>
          <w:szCs w:val="22"/>
          <w:lang w:val="en-GB" w:eastAsia="x-none"/>
        </w:rPr>
        <w:t xml:space="preserve"> OFDM symbol (s1) of a slot should be supported</w:t>
      </w:r>
      <w:r w:rsidR="00CE0956">
        <w:rPr>
          <w:rFonts w:ascii="Times" w:eastAsia="Batang" w:hAnsi="Times"/>
          <w:sz w:val="18"/>
          <w:szCs w:val="22"/>
          <w:lang w:val="en-GB" w:eastAsia="x-none"/>
        </w:rPr>
        <w:t>.</w:t>
      </w:r>
    </w:p>
    <w:p w14:paraId="54B29A94" w14:textId="7C844888" w:rsidR="00204B9E" w:rsidRPr="00204B9E" w:rsidRDefault="00204B9E" w:rsidP="00204B9E">
      <w:pPr>
        <w:pStyle w:val="BodyText"/>
        <w:numPr>
          <w:ilvl w:val="0"/>
          <w:numId w:val="28"/>
        </w:numPr>
      </w:pPr>
      <w:r>
        <w:rPr>
          <w:rFonts w:ascii="Times" w:eastAsia="Batang" w:hAnsi="Times"/>
          <w:sz w:val="18"/>
          <w:szCs w:val="22"/>
          <w:lang w:val="en-GB" w:eastAsia="x-none"/>
        </w:rPr>
        <w:t>Separate capability indication for UE support in {s0,s1}, {s1,s4}, {s0,s1,s4} can be additionally supported.</w:t>
      </w:r>
    </w:p>
    <w:p w14:paraId="31A841AC" w14:textId="1EEC27AC" w:rsidR="00DC6BB6" w:rsidRDefault="00DC6BB6" w:rsidP="00EF2F11">
      <w:pPr>
        <w:pStyle w:val="BodyText"/>
      </w:pPr>
    </w:p>
    <w:p w14:paraId="0FF2D88F" w14:textId="68854431" w:rsidR="00DC6BB6" w:rsidRDefault="00DC6BB6" w:rsidP="00DC6BB6">
      <w:pPr>
        <w:pStyle w:val="BodyText"/>
        <w:jc w:val="center"/>
      </w:pPr>
      <w:r>
        <w:rPr>
          <w:noProof/>
        </w:rPr>
        <w:lastRenderedPageBreak/>
        <w:drawing>
          <wp:inline distT="0" distB="0" distL="0" distR="0" wp14:anchorId="7A9A63C8" wp14:editId="0EE0FE37">
            <wp:extent cx="5759450" cy="1739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59450" cy="1739900"/>
                    </a:xfrm>
                    <a:prstGeom prst="rect">
                      <a:avLst/>
                    </a:prstGeom>
                    <a:noFill/>
                    <a:ln>
                      <a:noFill/>
                    </a:ln>
                  </pic:spPr>
                </pic:pic>
              </a:graphicData>
            </a:graphic>
          </wp:inline>
        </w:drawing>
      </w:r>
    </w:p>
    <w:p w14:paraId="726AA4D0" w14:textId="0B27EF3E" w:rsidR="00DC6BB6" w:rsidRDefault="00DC6BB6" w:rsidP="00DC6BB6">
      <w:pPr>
        <w:pStyle w:val="BodyText"/>
        <w:jc w:val="center"/>
        <w:rPr>
          <w:rFonts w:ascii="Arial" w:hAnsi="Arial" w:cs="Arial"/>
          <w:b/>
          <w:bCs/>
          <w:u w:val="single"/>
        </w:rPr>
      </w:pPr>
      <w:r>
        <w:rPr>
          <w:rFonts w:ascii="Arial" w:hAnsi="Arial" w:cs="Arial"/>
          <w:b/>
          <w:bCs/>
          <w:u w:val="single"/>
        </w:rPr>
        <w:t xml:space="preserve">Figure 2-1 – </w:t>
      </w:r>
      <w:r w:rsidR="00204B9E">
        <w:rPr>
          <w:rFonts w:ascii="Arial" w:hAnsi="Arial" w:cs="Arial"/>
          <w:b/>
          <w:bCs/>
          <w:u w:val="single"/>
        </w:rPr>
        <w:t xml:space="preserve">Example configuration of </w:t>
      </w:r>
      <w:r>
        <w:rPr>
          <w:rFonts w:ascii="Arial" w:hAnsi="Arial" w:cs="Arial"/>
          <w:b/>
          <w:bCs/>
          <w:u w:val="single"/>
        </w:rPr>
        <w:t>LTE and NR transmissions on a DSS carrier with Rel18 Enhancement</w:t>
      </w:r>
      <w:r w:rsidR="00CE0956">
        <w:rPr>
          <w:rFonts w:ascii="Arial" w:hAnsi="Arial" w:cs="Arial"/>
          <w:b/>
          <w:bCs/>
          <w:u w:val="single"/>
        </w:rPr>
        <w:t>.</w:t>
      </w:r>
    </w:p>
    <w:p w14:paraId="64BAB033" w14:textId="20FD8158" w:rsidR="00DC6BB6" w:rsidRDefault="00DC6BB6" w:rsidP="00EF2F11">
      <w:pPr>
        <w:pStyle w:val="BodyText"/>
      </w:pPr>
    </w:p>
    <w:p w14:paraId="47ADFC3D" w14:textId="1042A675" w:rsidR="00822648" w:rsidRDefault="00822648" w:rsidP="00822648">
      <w:pPr>
        <w:pStyle w:val="BodyText"/>
      </w:pPr>
      <w:r>
        <w:t xml:space="preserve">Another aspect discussed in [1] was restriction on </w:t>
      </w:r>
      <w:r w:rsidRPr="007F2D14">
        <w:t>Type 0/0A/1/2 CSS</w:t>
      </w:r>
      <w:r>
        <w:t xml:space="preserve"> sets from being used with this feature. We do not see need to introduce such a restriction. Even from UE perspective, there is little/no impact to implementation if legacy CE is used. Even with clean symbol CE, if the UE can support the feature for USS there no additional complexity to support it for other SS sets as well. </w:t>
      </w:r>
    </w:p>
    <w:p w14:paraId="38EE777A" w14:textId="1B44720F" w:rsidR="00822648" w:rsidRDefault="00822648" w:rsidP="00822648">
      <w:pPr>
        <w:pStyle w:val="BodyText"/>
      </w:pPr>
      <w:r w:rsidRPr="00822648">
        <w:t>Two channel estimation</w:t>
      </w:r>
      <w:r>
        <w:t xml:space="preserve"> (CE)</w:t>
      </w:r>
      <w:r w:rsidRPr="00822648">
        <w:t xml:space="preserve"> options </w:t>
      </w:r>
      <w:r>
        <w:t xml:space="preserve">(‘legacy CE’ and ‘clean symbol based CE’) </w:t>
      </w:r>
      <w:r w:rsidRPr="00822648">
        <w:t xml:space="preserve">for supporting the feature were included in the agreement. </w:t>
      </w:r>
      <w:r>
        <w:t xml:space="preserve">In [2] we </w:t>
      </w:r>
      <w:r w:rsidR="00A07FDA">
        <w:t>provided performance evaluations for</w:t>
      </w:r>
      <w:r>
        <w:t xml:space="preserve"> </w:t>
      </w:r>
      <w:r w:rsidR="00A07FDA">
        <w:t xml:space="preserve">different </w:t>
      </w:r>
      <w:r>
        <w:t>CORESET</w:t>
      </w:r>
      <w:r w:rsidR="00A07FDA">
        <w:t xml:space="preserve"> durations and channel estimation options</w:t>
      </w:r>
      <w:r w:rsidR="00444CFE">
        <w:t xml:space="preserve"> and summary of results is included in Annex A for reference. Supporting the feature with 1-symbol CORESET and legacy CE provides the highest capacity gain among all the evaluated scenarios. </w:t>
      </w:r>
      <w:r w:rsidR="00195238">
        <w:t xml:space="preserve">Therefore, the feature should be supported at least for this combination. </w:t>
      </w:r>
    </w:p>
    <w:p w14:paraId="69A1E0C2" w14:textId="1CDB3F4A" w:rsidR="00195238" w:rsidRPr="00204B9E" w:rsidRDefault="00195238" w:rsidP="00822648">
      <w:pPr>
        <w:pStyle w:val="BodyText"/>
      </w:pPr>
      <w:r>
        <w:t>Typically, channel estimation is considered as UE receiver implementation aspect and is transparent to the specifications. However, the case of ‘clean symbol based CE’ can only be supported with 2-symbol or 3-symbol CORESET durations while the ‘legacy CE’ is applicable to all possible CORESET durations. Given this, if UEs that support only ‘clean symbol CE’ are to be supported, a capability indication to distinguish them from UEs supporting ‘legacy CE’ is required.</w:t>
      </w:r>
    </w:p>
    <w:p w14:paraId="2DE1478E" w14:textId="3839AAA2" w:rsidR="00195238" w:rsidRDefault="00195238" w:rsidP="00195238">
      <w:pPr>
        <w:pStyle w:val="BodyText"/>
        <w:rPr>
          <w:b/>
          <w:bCs/>
          <w:u w:val="single"/>
        </w:rPr>
      </w:pPr>
      <w:r w:rsidRPr="00204B9E">
        <w:rPr>
          <w:b/>
          <w:bCs/>
          <w:u w:val="single"/>
        </w:rPr>
        <w:t xml:space="preserve">Proposal </w:t>
      </w:r>
      <w:r>
        <w:rPr>
          <w:b/>
          <w:bCs/>
          <w:u w:val="single"/>
        </w:rPr>
        <w:t>2</w:t>
      </w:r>
    </w:p>
    <w:p w14:paraId="3682ECA7" w14:textId="03217A3F" w:rsidR="00195238" w:rsidRPr="00204B9E" w:rsidRDefault="00195238" w:rsidP="00195238">
      <w:pPr>
        <w:pStyle w:val="BodyText"/>
        <w:numPr>
          <w:ilvl w:val="0"/>
          <w:numId w:val="28"/>
        </w:numPr>
      </w:pPr>
      <w:r>
        <w:rPr>
          <w:rFonts w:ascii="Times" w:eastAsia="Batang" w:hAnsi="Times"/>
          <w:sz w:val="18"/>
          <w:szCs w:val="22"/>
          <w:lang w:val="en-GB" w:eastAsia="x-none"/>
        </w:rPr>
        <w:t>A capability indication for UE support of r</w:t>
      </w:r>
      <w:r w:rsidRPr="00DC6BB6">
        <w:rPr>
          <w:rFonts w:ascii="Times" w:eastAsia="Batang" w:hAnsi="Times"/>
          <w:sz w:val="18"/>
          <w:szCs w:val="22"/>
          <w:lang w:val="en-GB" w:eastAsia="x-none"/>
        </w:rPr>
        <w:t>eception of NR PDCCH candidates that overlap with LTE CRS REs</w:t>
      </w:r>
      <w:r>
        <w:rPr>
          <w:rFonts w:ascii="Times" w:eastAsia="Batang" w:hAnsi="Times"/>
          <w:sz w:val="18"/>
          <w:szCs w:val="22"/>
          <w:lang w:val="en-GB" w:eastAsia="x-none"/>
        </w:rPr>
        <w:t xml:space="preserve"> using </w:t>
      </w:r>
      <w:r w:rsidR="0008503A">
        <w:rPr>
          <w:rFonts w:ascii="Times" w:eastAsia="Batang" w:hAnsi="Times"/>
          <w:sz w:val="18"/>
          <w:szCs w:val="22"/>
          <w:lang w:val="en-GB" w:eastAsia="x-none"/>
        </w:rPr>
        <w:t>‘</w:t>
      </w:r>
      <w:r>
        <w:rPr>
          <w:rFonts w:ascii="Times" w:eastAsia="Batang" w:hAnsi="Times"/>
          <w:sz w:val="18"/>
          <w:szCs w:val="22"/>
          <w:lang w:val="en-GB" w:eastAsia="x-none"/>
        </w:rPr>
        <w:t xml:space="preserve">legacy </w:t>
      </w:r>
      <w:r w:rsidR="007261EA">
        <w:rPr>
          <w:rFonts w:ascii="Times" w:eastAsia="Batang" w:hAnsi="Times"/>
          <w:sz w:val="18"/>
          <w:szCs w:val="22"/>
          <w:lang w:val="en-GB" w:eastAsia="x-none"/>
        </w:rPr>
        <w:t>channel estimation</w:t>
      </w:r>
      <w:r w:rsidR="0008503A">
        <w:rPr>
          <w:rFonts w:ascii="Times" w:eastAsia="Batang" w:hAnsi="Times"/>
          <w:sz w:val="18"/>
          <w:szCs w:val="22"/>
          <w:lang w:val="en-GB" w:eastAsia="x-none"/>
        </w:rPr>
        <w:t>’</w:t>
      </w:r>
      <w:r>
        <w:rPr>
          <w:rFonts w:ascii="Times" w:eastAsia="Batang" w:hAnsi="Times"/>
          <w:sz w:val="18"/>
          <w:szCs w:val="22"/>
          <w:lang w:val="en-GB" w:eastAsia="x-none"/>
        </w:rPr>
        <w:t xml:space="preserve"> (and all possible CORESET durations) should be supported.</w:t>
      </w:r>
    </w:p>
    <w:p w14:paraId="57BD82E1" w14:textId="5C7783FD" w:rsidR="00195238" w:rsidRPr="00204B9E" w:rsidRDefault="00195238" w:rsidP="00195238">
      <w:pPr>
        <w:pStyle w:val="BodyText"/>
        <w:numPr>
          <w:ilvl w:val="0"/>
          <w:numId w:val="28"/>
        </w:numPr>
      </w:pPr>
      <w:r>
        <w:rPr>
          <w:rFonts w:ascii="Times" w:eastAsia="Batang" w:hAnsi="Times"/>
          <w:sz w:val="18"/>
          <w:szCs w:val="22"/>
          <w:lang w:val="en-GB" w:eastAsia="x-none"/>
        </w:rPr>
        <w:t>If there are UEs that only support the ‘clean symbol</w:t>
      </w:r>
      <w:r w:rsidR="0008503A">
        <w:rPr>
          <w:rFonts w:ascii="Times" w:eastAsia="Batang" w:hAnsi="Times"/>
          <w:sz w:val="18"/>
          <w:szCs w:val="22"/>
          <w:lang w:val="en-GB" w:eastAsia="x-none"/>
        </w:rPr>
        <w:t xml:space="preserve"> CE</w:t>
      </w:r>
      <w:r>
        <w:rPr>
          <w:rFonts w:ascii="Times" w:eastAsia="Batang" w:hAnsi="Times"/>
          <w:sz w:val="18"/>
          <w:szCs w:val="22"/>
          <w:lang w:val="en-GB" w:eastAsia="x-none"/>
        </w:rPr>
        <w:t>’ channel estimation option, separate capability indication for this should be supported.</w:t>
      </w:r>
    </w:p>
    <w:p w14:paraId="3243C11F" w14:textId="0FF29DC7" w:rsidR="00974365" w:rsidRDefault="0008503A" w:rsidP="00EF2F11">
      <w:pPr>
        <w:pStyle w:val="BodyText"/>
        <w:rPr>
          <w:lang w:val="en-GB" w:eastAsia="ja-JP"/>
        </w:rPr>
      </w:pPr>
      <w:r>
        <w:t xml:space="preserve">As also discussed in [3], </w:t>
      </w:r>
      <w:r>
        <w:rPr>
          <w:lang w:val="en-GB" w:eastAsia="ja-JP"/>
        </w:rPr>
        <w:t>if UE capability signalling is introduced such that a UE can indicate that it supports the feature with two channel estimation methods (‘legacy CE’ and ‘clean symbol CE’), then an RRC parameter would be needed to explicitly configure the UE to use one of the two supported channel estimation methods.</w:t>
      </w:r>
    </w:p>
    <w:p w14:paraId="72DE5F9A" w14:textId="09B99516" w:rsidR="0008503A" w:rsidRDefault="00FF5F70" w:rsidP="00EF2F11">
      <w:pPr>
        <w:pStyle w:val="BodyText"/>
      </w:pPr>
      <w:r>
        <w:t xml:space="preserve">On the applicable CRS patterns, the straightforward option is to support the feature for the case of non-overlapping CRS patterns (one pattern for case of Rel15 FG 5-28 and up to 3 non-overlapping patterns for case of Rel16 FG 14-1). Then support for the feature with overlapping CRS patterns (introduced in Rel16 or Rel18) can be considered separately.  </w:t>
      </w:r>
    </w:p>
    <w:p w14:paraId="167666F8" w14:textId="20069C82" w:rsidR="00FF5F70" w:rsidRDefault="00FF5F70" w:rsidP="00FF5F70">
      <w:pPr>
        <w:pStyle w:val="BodyText"/>
        <w:rPr>
          <w:b/>
          <w:bCs/>
          <w:u w:val="single"/>
        </w:rPr>
      </w:pPr>
      <w:r w:rsidRPr="00204B9E">
        <w:rPr>
          <w:b/>
          <w:bCs/>
          <w:u w:val="single"/>
        </w:rPr>
        <w:t xml:space="preserve">Proposal </w:t>
      </w:r>
      <w:r w:rsidR="00580F4E">
        <w:rPr>
          <w:b/>
          <w:bCs/>
          <w:u w:val="single"/>
        </w:rPr>
        <w:t>3</w:t>
      </w:r>
    </w:p>
    <w:p w14:paraId="575903FF" w14:textId="1BAAED8E" w:rsidR="00FF5F70" w:rsidRPr="00204B9E" w:rsidRDefault="00FF5F70" w:rsidP="00FF5F70">
      <w:pPr>
        <w:pStyle w:val="BodyText"/>
        <w:numPr>
          <w:ilvl w:val="0"/>
          <w:numId w:val="28"/>
        </w:numPr>
      </w:pPr>
      <w:r>
        <w:rPr>
          <w:rFonts w:ascii="Times" w:eastAsia="Batang" w:hAnsi="Times"/>
          <w:sz w:val="18"/>
          <w:szCs w:val="22"/>
          <w:lang w:val="en-GB" w:eastAsia="x-none"/>
        </w:rPr>
        <w:t>A capability indication for UE support of r</w:t>
      </w:r>
      <w:r w:rsidRPr="00DC6BB6">
        <w:rPr>
          <w:rFonts w:ascii="Times" w:eastAsia="Batang" w:hAnsi="Times"/>
          <w:sz w:val="18"/>
          <w:szCs w:val="22"/>
          <w:lang w:val="en-GB" w:eastAsia="x-none"/>
        </w:rPr>
        <w:t>eception of NR PDCCH candidates that overlap with LTE CRS REs</w:t>
      </w:r>
      <w:r>
        <w:rPr>
          <w:rFonts w:ascii="Times" w:eastAsia="Batang" w:hAnsi="Times"/>
          <w:sz w:val="18"/>
          <w:szCs w:val="22"/>
          <w:lang w:val="en-GB" w:eastAsia="x-none"/>
        </w:rPr>
        <w:t xml:space="preserve"> using one or multiple non-overlapping CRS patterns should be supported.</w:t>
      </w:r>
    </w:p>
    <w:p w14:paraId="0CFB278E" w14:textId="4509D208" w:rsidR="00FF5F70" w:rsidRPr="00204B9E" w:rsidRDefault="001E495E" w:rsidP="00FF5F70">
      <w:pPr>
        <w:pStyle w:val="BodyText"/>
        <w:numPr>
          <w:ilvl w:val="0"/>
          <w:numId w:val="28"/>
        </w:numPr>
      </w:pPr>
      <w:r>
        <w:rPr>
          <w:rFonts w:ascii="Times" w:eastAsia="Batang" w:hAnsi="Times"/>
          <w:sz w:val="18"/>
          <w:szCs w:val="22"/>
          <w:lang w:val="en-GB" w:eastAsia="x-none"/>
        </w:rPr>
        <w:t xml:space="preserve">Separate capability indication for UE support with </w:t>
      </w:r>
      <w:r w:rsidR="0066521A">
        <w:rPr>
          <w:rFonts w:ascii="Times" w:eastAsia="Batang" w:hAnsi="Times"/>
          <w:sz w:val="18"/>
          <w:szCs w:val="22"/>
          <w:lang w:val="en-GB" w:eastAsia="x-none"/>
        </w:rPr>
        <w:t xml:space="preserve">two </w:t>
      </w:r>
      <w:r>
        <w:rPr>
          <w:rFonts w:ascii="Times" w:eastAsia="Batang" w:hAnsi="Times"/>
          <w:sz w:val="18"/>
          <w:szCs w:val="22"/>
          <w:lang w:val="en-GB" w:eastAsia="x-none"/>
        </w:rPr>
        <w:t xml:space="preserve">overlapping CRS patterns can be additionally supported </w:t>
      </w:r>
      <w:r w:rsidR="00FF5F70">
        <w:rPr>
          <w:rFonts w:ascii="Times" w:eastAsia="Batang" w:hAnsi="Times"/>
          <w:sz w:val="18"/>
          <w:szCs w:val="22"/>
          <w:lang w:val="en-GB" w:eastAsia="x-none"/>
        </w:rPr>
        <w:t>.</w:t>
      </w:r>
    </w:p>
    <w:p w14:paraId="643D15B3" w14:textId="77777777" w:rsidR="00FF5F70" w:rsidRDefault="00FF5F70" w:rsidP="00EF2F11">
      <w:pPr>
        <w:pStyle w:val="BodyText"/>
      </w:pPr>
    </w:p>
    <w:p w14:paraId="41F60E39" w14:textId="77777777" w:rsidR="00E04B84" w:rsidRDefault="00E04B84" w:rsidP="00E04B84">
      <w:pPr>
        <w:pStyle w:val="Heading1"/>
      </w:pPr>
      <w:r>
        <w:t>Conclusions</w:t>
      </w:r>
    </w:p>
    <w:p w14:paraId="40F07D90" w14:textId="29FA15DE" w:rsidR="00BD7F99" w:rsidRDefault="005621B4" w:rsidP="00EF2F11">
      <w:pPr>
        <w:pStyle w:val="BodyText"/>
        <w:rPr>
          <w:szCs w:val="20"/>
        </w:rPr>
      </w:pPr>
      <w:r>
        <w:t xml:space="preserve"> </w:t>
      </w:r>
      <w:r w:rsidR="00E04B84">
        <w:t xml:space="preserve">In </w:t>
      </w:r>
      <w:r w:rsidR="00453CE2">
        <w:t xml:space="preserve">this document </w:t>
      </w:r>
      <w:r w:rsidR="00453CE2">
        <w:rPr>
          <w:szCs w:val="20"/>
        </w:rPr>
        <w:t>we discuss</w:t>
      </w:r>
      <w:r w:rsidR="00453CE2" w:rsidRPr="00210E79">
        <w:rPr>
          <w:szCs w:val="20"/>
        </w:rPr>
        <w:t xml:space="preserve"> </w:t>
      </w:r>
      <w:r w:rsidR="00580F4E">
        <w:rPr>
          <w:szCs w:val="20"/>
        </w:rPr>
        <w:t xml:space="preserve">UE capability details for reception of </w:t>
      </w:r>
      <w:r w:rsidR="00580F4E" w:rsidRPr="001A0D64">
        <w:rPr>
          <w:szCs w:val="20"/>
        </w:rPr>
        <w:t>NR PDCCH candidates that overlap with LTE CRS REs</w:t>
      </w:r>
      <w:r w:rsidR="00580F4E">
        <w:rPr>
          <w:szCs w:val="20"/>
        </w:rPr>
        <w:t xml:space="preserve"> and propose the following</w:t>
      </w:r>
    </w:p>
    <w:p w14:paraId="06ADB55E" w14:textId="77777777" w:rsidR="00580F4E" w:rsidRDefault="00580F4E" w:rsidP="00580F4E">
      <w:pPr>
        <w:pStyle w:val="BodyText"/>
        <w:rPr>
          <w:b/>
          <w:bCs/>
          <w:u w:val="single"/>
        </w:rPr>
      </w:pPr>
      <w:r w:rsidRPr="00204B9E">
        <w:rPr>
          <w:b/>
          <w:bCs/>
          <w:u w:val="single"/>
        </w:rPr>
        <w:t>Proposal 1</w:t>
      </w:r>
    </w:p>
    <w:p w14:paraId="51137FC2" w14:textId="5B93F888" w:rsidR="00580F4E" w:rsidRPr="00204B9E" w:rsidRDefault="00580F4E" w:rsidP="00580F4E">
      <w:pPr>
        <w:pStyle w:val="BodyText"/>
        <w:numPr>
          <w:ilvl w:val="0"/>
          <w:numId w:val="28"/>
        </w:numPr>
      </w:pPr>
      <w:r>
        <w:rPr>
          <w:rFonts w:ascii="Times" w:eastAsia="Batang" w:hAnsi="Times"/>
          <w:sz w:val="18"/>
          <w:szCs w:val="22"/>
          <w:lang w:val="en-GB" w:eastAsia="x-none"/>
        </w:rPr>
        <w:lastRenderedPageBreak/>
        <w:t>A capability indication for UE support of r</w:t>
      </w:r>
      <w:r w:rsidRPr="00DC6BB6">
        <w:rPr>
          <w:rFonts w:ascii="Times" w:eastAsia="Batang" w:hAnsi="Times"/>
          <w:sz w:val="18"/>
          <w:szCs w:val="22"/>
          <w:lang w:val="en-GB" w:eastAsia="x-none"/>
        </w:rPr>
        <w:t>eception of NR PDCCH candidates that overlap with LTE CRS REs</w:t>
      </w:r>
      <w:r>
        <w:rPr>
          <w:rFonts w:ascii="Times" w:eastAsia="Batang" w:hAnsi="Times"/>
          <w:sz w:val="18"/>
          <w:szCs w:val="22"/>
          <w:lang w:val="en-GB" w:eastAsia="x-none"/>
        </w:rPr>
        <w:t xml:space="preserve"> in 2</w:t>
      </w:r>
      <w:r w:rsidRPr="00204B9E">
        <w:rPr>
          <w:rFonts w:ascii="Times" w:eastAsia="Batang" w:hAnsi="Times"/>
          <w:sz w:val="18"/>
          <w:szCs w:val="22"/>
          <w:vertAlign w:val="superscript"/>
          <w:lang w:val="en-GB" w:eastAsia="x-none"/>
        </w:rPr>
        <w:t>nd</w:t>
      </w:r>
      <w:r>
        <w:rPr>
          <w:rFonts w:ascii="Times" w:eastAsia="Batang" w:hAnsi="Times"/>
          <w:sz w:val="18"/>
          <w:szCs w:val="22"/>
          <w:lang w:val="en-GB" w:eastAsia="x-none"/>
        </w:rPr>
        <w:t xml:space="preserve"> OFDM symbol (s1) of a slot should be supported</w:t>
      </w:r>
      <w:r w:rsidR="00CE0956">
        <w:rPr>
          <w:rFonts w:ascii="Times" w:eastAsia="Batang" w:hAnsi="Times"/>
          <w:sz w:val="18"/>
          <w:szCs w:val="22"/>
          <w:lang w:val="en-GB" w:eastAsia="x-none"/>
        </w:rPr>
        <w:t>.</w:t>
      </w:r>
    </w:p>
    <w:p w14:paraId="7419208C" w14:textId="77777777" w:rsidR="00580F4E" w:rsidRPr="00204B9E" w:rsidRDefault="00580F4E" w:rsidP="00580F4E">
      <w:pPr>
        <w:pStyle w:val="BodyText"/>
        <w:numPr>
          <w:ilvl w:val="0"/>
          <w:numId w:val="28"/>
        </w:numPr>
      </w:pPr>
      <w:r>
        <w:rPr>
          <w:rFonts w:ascii="Times" w:eastAsia="Batang" w:hAnsi="Times"/>
          <w:sz w:val="18"/>
          <w:szCs w:val="22"/>
          <w:lang w:val="en-GB" w:eastAsia="x-none"/>
        </w:rPr>
        <w:t>Separate capability indication for UE support in {s0,s1}, {s1,s4}, {s0,s1,s4} can be additionally supported.</w:t>
      </w:r>
    </w:p>
    <w:p w14:paraId="1D14FCB3" w14:textId="21D1F89E" w:rsidR="00580F4E" w:rsidRDefault="00580F4E" w:rsidP="00580F4E">
      <w:pPr>
        <w:pStyle w:val="BodyText"/>
        <w:rPr>
          <w:b/>
          <w:bCs/>
          <w:u w:val="single"/>
        </w:rPr>
      </w:pPr>
      <w:r w:rsidRPr="00204B9E">
        <w:rPr>
          <w:b/>
          <w:bCs/>
          <w:u w:val="single"/>
        </w:rPr>
        <w:t xml:space="preserve">Proposal </w:t>
      </w:r>
      <w:r>
        <w:rPr>
          <w:b/>
          <w:bCs/>
          <w:u w:val="single"/>
        </w:rPr>
        <w:t>2</w:t>
      </w:r>
    </w:p>
    <w:p w14:paraId="492F33C5" w14:textId="53BDD2B8" w:rsidR="00580F4E" w:rsidRPr="00204B9E" w:rsidRDefault="00580F4E" w:rsidP="00580F4E">
      <w:pPr>
        <w:pStyle w:val="BodyText"/>
        <w:numPr>
          <w:ilvl w:val="0"/>
          <w:numId w:val="28"/>
        </w:numPr>
      </w:pPr>
      <w:r>
        <w:rPr>
          <w:rFonts w:ascii="Times" w:eastAsia="Batang" w:hAnsi="Times"/>
          <w:sz w:val="18"/>
          <w:szCs w:val="22"/>
          <w:lang w:val="en-GB" w:eastAsia="x-none"/>
        </w:rPr>
        <w:t>A capability indication for UE support of r</w:t>
      </w:r>
      <w:r w:rsidRPr="00DC6BB6">
        <w:rPr>
          <w:rFonts w:ascii="Times" w:eastAsia="Batang" w:hAnsi="Times"/>
          <w:sz w:val="18"/>
          <w:szCs w:val="22"/>
          <w:lang w:val="en-GB" w:eastAsia="x-none"/>
        </w:rPr>
        <w:t>eception of NR PDCCH candidates that overlap with LTE CRS REs</w:t>
      </w:r>
      <w:r>
        <w:rPr>
          <w:rFonts w:ascii="Times" w:eastAsia="Batang" w:hAnsi="Times"/>
          <w:sz w:val="18"/>
          <w:szCs w:val="22"/>
          <w:lang w:val="en-GB" w:eastAsia="x-none"/>
        </w:rPr>
        <w:t xml:space="preserve"> using ‘legacy </w:t>
      </w:r>
      <w:r w:rsidR="007261EA">
        <w:rPr>
          <w:rFonts w:ascii="Times" w:eastAsia="Batang" w:hAnsi="Times"/>
          <w:sz w:val="18"/>
          <w:szCs w:val="22"/>
          <w:lang w:val="en-GB" w:eastAsia="x-none"/>
        </w:rPr>
        <w:t>channel estimation</w:t>
      </w:r>
      <w:r>
        <w:rPr>
          <w:rFonts w:ascii="Times" w:eastAsia="Batang" w:hAnsi="Times"/>
          <w:sz w:val="18"/>
          <w:szCs w:val="22"/>
          <w:lang w:val="en-GB" w:eastAsia="x-none"/>
        </w:rPr>
        <w:t>’ (and all possible CORESET durations) should be supported.</w:t>
      </w:r>
    </w:p>
    <w:p w14:paraId="32E1F71E" w14:textId="77777777" w:rsidR="00580F4E" w:rsidRPr="00204B9E" w:rsidRDefault="00580F4E" w:rsidP="00580F4E">
      <w:pPr>
        <w:pStyle w:val="BodyText"/>
        <w:numPr>
          <w:ilvl w:val="0"/>
          <w:numId w:val="28"/>
        </w:numPr>
      </w:pPr>
      <w:r>
        <w:rPr>
          <w:rFonts w:ascii="Times" w:eastAsia="Batang" w:hAnsi="Times"/>
          <w:sz w:val="18"/>
          <w:szCs w:val="22"/>
          <w:lang w:val="en-GB" w:eastAsia="x-none"/>
        </w:rPr>
        <w:t>If there are UEs that only support the ‘clean symbol CE’ channel estimation option, separate capability indication for this should be supported.</w:t>
      </w:r>
    </w:p>
    <w:p w14:paraId="7A382A95" w14:textId="77777777" w:rsidR="00580F4E" w:rsidRDefault="00580F4E" w:rsidP="00580F4E">
      <w:pPr>
        <w:pStyle w:val="BodyText"/>
        <w:rPr>
          <w:b/>
          <w:bCs/>
          <w:u w:val="single"/>
        </w:rPr>
      </w:pPr>
      <w:r w:rsidRPr="00204B9E">
        <w:rPr>
          <w:b/>
          <w:bCs/>
          <w:u w:val="single"/>
        </w:rPr>
        <w:t xml:space="preserve">Proposal </w:t>
      </w:r>
      <w:r>
        <w:rPr>
          <w:b/>
          <w:bCs/>
          <w:u w:val="single"/>
        </w:rPr>
        <w:t>3</w:t>
      </w:r>
    </w:p>
    <w:p w14:paraId="57C6A1B8" w14:textId="77777777" w:rsidR="00580F4E" w:rsidRPr="00204B9E" w:rsidRDefault="00580F4E" w:rsidP="00580F4E">
      <w:pPr>
        <w:pStyle w:val="BodyText"/>
        <w:numPr>
          <w:ilvl w:val="0"/>
          <w:numId w:val="28"/>
        </w:numPr>
      </w:pPr>
      <w:r>
        <w:rPr>
          <w:rFonts w:ascii="Times" w:eastAsia="Batang" w:hAnsi="Times"/>
          <w:sz w:val="18"/>
          <w:szCs w:val="22"/>
          <w:lang w:val="en-GB" w:eastAsia="x-none"/>
        </w:rPr>
        <w:t>A capability indication for UE support of r</w:t>
      </w:r>
      <w:r w:rsidRPr="00DC6BB6">
        <w:rPr>
          <w:rFonts w:ascii="Times" w:eastAsia="Batang" w:hAnsi="Times"/>
          <w:sz w:val="18"/>
          <w:szCs w:val="22"/>
          <w:lang w:val="en-GB" w:eastAsia="x-none"/>
        </w:rPr>
        <w:t>eception of NR PDCCH candidates that overlap with LTE CRS REs</w:t>
      </w:r>
      <w:r>
        <w:rPr>
          <w:rFonts w:ascii="Times" w:eastAsia="Batang" w:hAnsi="Times"/>
          <w:sz w:val="18"/>
          <w:szCs w:val="22"/>
          <w:lang w:val="en-GB" w:eastAsia="x-none"/>
        </w:rPr>
        <w:t xml:space="preserve"> using one or multiple non-overlapping CRS patterns should be supported.</w:t>
      </w:r>
    </w:p>
    <w:p w14:paraId="7A36F8F7" w14:textId="7C8E1195" w:rsidR="00580F4E" w:rsidRPr="00204B9E" w:rsidRDefault="00580F4E" w:rsidP="00580F4E">
      <w:pPr>
        <w:pStyle w:val="BodyText"/>
        <w:numPr>
          <w:ilvl w:val="0"/>
          <w:numId w:val="28"/>
        </w:numPr>
      </w:pPr>
      <w:r>
        <w:rPr>
          <w:rFonts w:ascii="Times" w:eastAsia="Batang" w:hAnsi="Times"/>
          <w:sz w:val="18"/>
          <w:szCs w:val="22"/>
          <w:lang w:val="en-GB" w:eastAsia="x-none"/>
        </w:rPr>
        <w:t xml:space="preserve">Separate capability indication for UE support with </w:t>
      </w:r>
      <w:r w:rsidR="0066521A">
        <w:rPr>
          <w:rFonts w:ascii="Times" w:eastAsia="Batang" w:hAnsi="Times"/>
          <w:sz w:val="18"/>
          <w:szCs w:val="22"/>
          <w:lang w:val="en-GB" w:eastAsia="x-none"/>
        </w:rPr>
        <w:t xml:space="preserve">two </w:t>
      </w:r>
      <w:r>
        <w:rPr>
          <w:rFonts w:ascii="Times" w:eastAsia="Batang" w:hAnsi="Times"/>
          <w:sz w:val="18"/>
          <w:szCs w:val="22"/>
          <w:lang w:val="en-GB" w:eastAsia="x-none"/>
        </w:rPr>
        <w:t>overlapping CRS patterns can be additionally supported.</w:t>
      </w:r>
    </w:p>
    <w:p w14:paraId="4D27D788" w14:textId="02A36EF5" w:rsidR="006246B1" w:rsidRPr="00D80B13" w:rsidRDefault="006246B1" w:rsidP="006246B1">
      <w:pPr>
        <w:pStyle w:val="Heading1"/>
      </w:pPr>
      <w:r w:rsidRPr="00D80B13">
        <w:t>References</w:t>
      </w:r>
    </w:p>
    <w:p w14:paraId="52E45564" w14:textId="78DF0B55" w:rsidR="006246B1" w:rsidRDefault="006246B1" w:rsidP="00EF2F11">
      <w:pPr>
        <w:pStyle w:val="BodyText"/>
      </w:pPr>
      <w:r w:rsidRPr="00B6591A">
        <w:t>[1] R</w:t>
      </w:r>
      <w:r w:rsidR="00EF2F11" w:rsidRPr="00B6591A">
        <w:t>1-</w:t>
      </w:r>
      <w:r w:rsidR="00453CE2" w:rsidRPr="00B6591A">
        <w:t>2</w:t>
      </w:r>
      <w:r w:rsidR="00B6591A">
        <w:t>210358 – “</w:t>
      </w:r>
      <w:r w:rsidR="00B6591A" w:rsidRPr="00B6591A">
        <w:t>Moderator Summary for Rel. 18 NR DSS</w:t>
      </w:r>
      <w:r w:rsidR="00B6591A">
        <w:t xml:space="preserve">”, </w:t>
      </w:r>
      <w:r w:rsidR="00B6591A" w:rsidRPr="00B6591A">
        <w:t>Moderator (Intel Corporation)</w:t>
      </w:r>
      <w:r w:rsidR="00B6591A">
        <w:t>, RAN1#110bis-e, October 2022.</w:t>
      </w:r>
    </w:p>
    <w:p w14:paraId="1FC2B411" w14:textId="73BB7C95" w:rsidR="00B6591A" w:rsidRDefault="00B6591A" w:rsidP="00EF2F11">
      <w:pPr>
        <w:pStyle w:val="BodyText"/>
      </w:pPr>
      <w:r>
        <w:t>[2] R1-2207439 – “</w:t>
      </w:r>
      <w:r w:rsidRPr="00B6591A">
        <w:t>NR PDCCH reception in symbols with LTE CRS REs</w:t>
      </w:r>
      <w:r>
        <w:t>”, Ericsson, RAN1#110, Toulouse, France, August 2022.</w:t>
      </w:r>
    </w:p>
    <w:p w14:paraId="7AA764AC" w14:textId="09F2F403" w:rsidR="00B6591A" w:rsidRDefault="00B6591A" w:rsidP="00EF2F11">
      <w:pPr>
        <w:pStyle w:val="BodyText"/>
      </w:pPr>
      <w:r w:rsidRPr="00CE0956">
        <w:t xml:space="preserve">[3] </w:t>
      </w:r>
      <w:r w:rsidR="00CE0956" w:rsidRPr="00CE0956">
        <w:t xml:space="preserve">R1-2303766 – “Discussion on MCE, </w:t>
      </w:r>
      <w:proofErr w:type="spellStart"/>
      <w:r w:rsidR="00CE0956" w:rsidRPr="00CE0956">
        <w:t>eDSS</w:t>
      </w:r>
      <w:proofErr w:type="spellEnd"/>
      <w:r w:rsidR="00CE0956" w:rsidRPr="00CE0956">
        <w:t xml:space="preserve"> and NCR for Rel18”, Ericsson, RAN1#112bis-e, </w:t>
      </w:r>
      <w:proofErr w:type="spellStart"/>
      <w:r w:rsidR="00CE0956" w:rsidRPr="00CE0956">
        <w:t>eMeeting</w:t>
      </w:r>
      <w:proofErr w:type="spellEnd"/>
      <w:r w:rsidR="00CE0956" w:rsidRPr="00CE0956">
        <w:t>, April 2023.</w:t>
      </w:r>
    </w:p>
    <w:p w14:paraId="4EFC5D22" w14:textId="428DAFE0" w:rsidR="00453CE2" w:rsidRDefault="00453CE2" w:rsidP="00EF2F11">
      <w:pPr>
        <w:pStyle w:val="BodyText"/>
      </w:pPr>
    </w:p>
    <w:p w14:paraId="62C7C869" w14:textId="77777777" w:rsidR="00554CDA" w:rsidRDefault="00554CDA">
      <w:pPr>
        <w:spacing w:after="160" w:line="259" w:lineRule="auto"/>
        <w:rPr>
          <w:rFonts w:ascii="Helvetica" w:eastAsia="MS Mincho" w:hAnsi="Helvetica" w:cs="Arial"/>
          <w:b/>
          <w:bCs/>
          <w:kern w:val="32"/>
          <w:sz w:val="28"/>
          <w:szCs w:val="32"/>
        </w:rPr>
      </w:pPr>
      <w:r>
        <w:br w:type="page"/>
      </w:r>
    </w:p>
    <w:p w14:paraId="4D563DDB" w14:textId="2B8685CD" w:rsidR="00453CE2" w:rsidRDefault="00453CE2" w:rsidP="007A0387">
      <w:pPr>
        <w:pStyle w:val="Heading1"/>
        <w:numPr>
          <w:ilvl w:val="0"/>
          <w:numId w:val="0"/>
        </w:numPr>
        <w:ind w:left="567" w:hanging="567"/>
      </w:pPr>
      <w:r>
        <w:lastRenderedPageBreak/>
        <w:t xml:space="preserve">Annex </w:t>
      </w:r>
      <w:r w:rsidR="00B6591A">
        <w:t>A</w:t>
      </w:r>
    </w:p>
    <w:p w14:paraId="1A683B09" w14:textId="2A9C25B4" w:rsidR="00453CE2" w:rsidRDefault="00B6591A" w:rsidP="00453CE2">
      <w:pPr>
        <w:pStyle w:val="BodyText"/>
      </w:pPr>
      <w:r>
        <w:t xml:space="preserve">Below we </w:t>
      </w:r>
      <w:r w:rsidR="008563FD">
        <w:t>provide</w:t>
      </w:r>
      <w:r>
        <w:t xml:space="preserve"> summary of performance evaluations for different CORESET configurations and channel estimation options from R1-2207439 ([2]). For detailed evaluation results and evaluation assumption</w:t>
      </w:r>
      <w:r w:rsidR="0042489E">
        <w:t>s</w:t>
      </w:r>
      <w:r>
        <w:t xml:space="preserve"> please refer to [2].</w:t>
      </w:r>
    </w:p>
    <w:p w14:paraId="2135AF0A" w14:textId="77777777" w:rsidR="00B6591A" w:rsidRDefault="00B6591A" w:rsidP="00B6591A">
      <w:pPr>
        <w:pStyle w:val="Caption"/>
      </w:pPr>
      <w:r>
        <w:t>Table 2.3.0-1. Summary of PDCCH capacity evaluations (Scenario #1A)</w:t>
      </w:r>
    </w:p>
    <w:tbl>
      <w:tblPr>
        <w:tblW w:w="9277" w:type="dxa"/>
        <w:tblInd w:w="-10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72"/>
        <w:gridCol w:w="1137"/>
        <w:gridCol w:w="4707"/>
        <w:gridCol w:w="970"/>
        <w:gridCol w:w="994"/>
        <w:gridCol w:w="997"/>
      </w:tblGrid>
      <w:tr w:rsidR="00B6591A" w14:paraId="1C334F8F" w14:textId="77777777" w:rsidTr="00B6591A">
        <w:trPr>
          <w:trHeight w:val="286"/>
        </w:trPr>
        <w:tc>
          <w:tcPr>
            <w:tcW w:w="472" w:type="dxa"/>
            <w:vMerge w:val="restart"/>
            <w:tcBorders>
              <w:top w:val="single" w:sz="8" w:space="0" w:color="auto"/>
              <w:left w:val="single" w:sz="8" w:space="0" w:color="auto"/>
              <w:bottom w:val="single" w:sz="8" w:space="0" w:color="auto"/>
              <w:right w:val="single" w:sz="8" w:space="0" w:color="auto"/>
            </w:tcBorders>
            <w:noWrap/>
            <w:vAlign w:val="center"/>
            <w:hideMark/>
          </w:tcPr>
          <w:p w14:paraId="2388C61C" w14:textId="77777777" w:rsidR="00B6591A" w:rsidRDefault="00B6591A">
            <w:pPr>
              <w:spacing w:line="256" w:lineRule="auto"/>
              <w:jc w:val="center"/>
              <w:rPr>
                <w:color w:val="000000"/>
                <w:szCs w:val="20"/>
              </w:rPr>
            </w:pPr>
            <w:r>
              <w:rPr>
                <w:color w:val="000000"/>
                <w:szCs w:val="20"/>
              </w:rPr>
              <w:t> </w:t>
            </w:r>
          </w:p>
        </w:tc>
        <w:tc>
          <w:tcPr>
            <w:tcW w:w="1137" w:type="dxa"/>
            <w:vMerge w:val="restart"/>
            <w:tcBorders>
              <w:top w:val="single" w:sz="8" w:space="0" w:color="auto"/>
              <w:left w:val="single" w:sz="8" w:space="0" w:color="auto"/>
              <w:bottom w:val="single" w:sz="8" w:space="0" w:color="auto"/>
              <w:right w:val="single" w:sz="8" w:space="0" w:color="auto"/>
            </w:tcBorders>
            <w:noWrap/>
            <w:vAlign w:val="center"/>
            <w:hideMark/>
          </w:tcPr>
          <w:p w14:paraId="5124F1D8" w14:textId="77777777" w:rsidR="00B6591A" w:rsidRDefault="00B6591A">
            <w:pPr>
              <w:spacing w:line="256" w:lineRule="auto"/>
              <w:jc w:val="center"/>
              <w:rPr>
                <w:color w:val="000000"/>
                <w:szCs w:val="20"/>
              </w:rPr>
            </w:pPr>
            <w:r>
              <w:rPr>
                <w:color w:val="000000"/>
                <w:szCs w:val="20"/>
              </w:rPr>
              <w:t>Evaluated case</w:t>
            </w:r>
          </w:p>
        </w:tc>
        <w:tc>
          <w:tcPr>
            <w:tcW w:w="4707" w:type="dxa"/>
            <w:vMerge w:val="restart"/>
            <w:tcBorders>
              <w:top w:val="single" w:sz="8" w:space="0" w:color="auto"/>
              <w:left w:val="single" w:sz="8" w:space="0" w:color="auto"/>
              <w:bottom w:val="single" w:sz="8" w:space="0" w:color="auto"/>
              <w:right w:val="single" w:sz="8" w:space="0" w:color="auto"/>
            </w:tcBorders>
            <w:noWrap/>
            <w:vAlign w:val="center"/>
            <w:hideMark/>
          </w:tcPr>
          <w:p w14:paraId="115EC4DD" w14:textId="77777777" w:rsidR="00B6591A" w:rsidRDefault="00B6591A">
            <w:pPr>
              <w:spacing w:line="256" w:lineRule="auto"/>
              <w:jc w:val="center"/>
              <w:rPr>
                <w:color w:val="000000"/>
                <w:szCs w:val="20"/>
              </w:rPr>
            </w:pPr>
            <w:r>
              <w:rPr>
                <w:color w:val="000000"/>
                <w:szCs w:val="20"/>
              </w:rPr>
              <w:t xml:space="preserve">Description </w:t>
            </w:r>
            <w:r>
              <w:rPr>
                <w:color w:val="000000"/>
                <w:szCs w:val="20"/>
                <w:vertAlign w:val="superscript"/>
              </w:rPr>
              <w:t>2</w:t>
            </w:r>
          </w:p>
        </w:tc>
        <w:tc>
          <w:tcPr>
            <w:tcW w:w="2961" w:type="dxa"/>
            <w:gridSpan w:val="3"/>
            <w:tcBorders>
              <w:top w:val="single" w:sz="8" w:space="0" w:color="auto"/>
              <w:left w:val="single" w:sz="8" w:space="0" w:color="auto"/>
              <w:bottom w:val="single" w:sz="8" w:space="0" w:color="auto"/>
              <w:right w:val="single" w:sz="8" w:space="0" w:color="auto"/>
            </w:tcBorders>
            <w:noWrap/>
            <w:vAlign w:val="center"/>
            <w:hideMark/>
          </w:tcPr>
          <w:p w14:paraId="7BB2FA25" w14:textId="77777777" w:rsidR="00B6591A" w:rsidRDefault="00B6591A">
            <w:pPr>
              <w:spacing w:line="256" w:lineRule="auto"/>
              <w:jc w:val="center"/>
              <w:rPr>
                <w:color w:val="000000"/>
                <w:szCs w:val="20"/>
              </w:rPr>
            </w:pPr>
            <w:r>
              <w:rPr>
                <w:color w:val="000000"/>
                <w:szCs w:val="20"/>
              </w:rPr>
              <w:t>PDCCH capacity</w:t>
            </w:r>
            <w:r>
              <w:rPr>
                <w:color w:val="000000"/>
                <w:szCs w:val="20"/>
              </w:rPr>
              <w:br/>
              <w:t>(Avg. #DCIs per slot)</w:t>
            </w:r>
          </w:p>
        </w:tc>
      </w:tr>
      <w:tr w:rsidR="00B6591A" w14:paraId="591A7E8F" w14:textId="77777777" w:rsidTr="00B6591A">
        <w:trPr>
          <w:trHeight w:val="286"/>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77FED00" w14:textId="77777777" w:rsidR="00B6591A" w:rsidRDefault="00B6591A">
            <w:pPr>
              <w:spacing w:line="256" w:lineRule="auto"/>
              <w:rPr>
                <w:color w:val="000000"/>
                <w:szCs w:val="20"/>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01B400DB" w14:textId="77777777" w:rsidR="00B6591A" w:rsidRDefault="00B6591A">
            <w:pPr>
              <w:spacing w:line="256" w:lineRule="auto"/>
              <w:rPr>
                <w:color w:val="000000"/>
                <w:szCs w:val="20"/>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71917BBE" w14:textId="77777777" w:rsidR="00B6591A" w:rsidRDefault="00B6591A">
            <w:pPr>
              <w:spacing w:line="256" w:lineRule="auto"/>
              <w:rPr>
                <w:color w:val="000000"/>
                <w:szCs w:val="20"/>
              </w:rPr>
            </w:pPr>
          </w:p>
        </w:tc>
        <w:tc>
          <w:tcPr>
            <w:tcW w:w="970" w:type="dxa"/>
            <w:tcBorders>
              <w:top w:val="single" w:sz="8" w:space="0" w:color="auto"/>
              <w:left w:val="single" w:sz="8" w:space="0" w:color="auto"/>
              <w:bottom w:val="single" w:sz="8" w:space="0" w:color="auto"/>
              <w:right w:val="single" w:sz="8" w:space="0" w:color="auto"/>
            </w:tcBorders>
            <w:noWrap/>
            <w:vAlign w:val="bottom"/>
            <w:hideMark/>
          </w:tcPr>
          <w:p w14:paraId="75450BFA" w14:textId="77777777" w:rsidR="00B6591A" w:rsidRDefault="00B6591A">
            <w:pPr>
              <w:spacing w:line="256" w:lineRule="auto"/>
              <w:rPr>
                <w:color w:val="000000"/>
                <w:szCs w:val="20"/>
              </w:rPr>
            </w:pPr>
            <w:r>
              <w:rPr>
                <w:color w:val="000000"/>
                <w:szCs w:val="20"/>
              </w:rPr>
              <w:t>Baseline</w:t>
            </w:r>
            <w:r>
              <w:rPr>
                <w:color w:val="000000"/>
                <w:szCs w:val="20"/>
                <w:vertAlign w:val="superscript"/>
              </w:rPr>
              <w:t>1</w:t>
            </w:r>
          </w:p>
        </w:tc>
        <w:tc>
          <w:tcPr>
            <w:tcW w:w="994" w:type="dxa"/>
            <w:tcBorders>
              <w:top w:val="single" w:sz="8" w:space="0" w:color="auto"/>
              <w:left w:val="single" w:sz="8" w:space="0" w:color="auto"/>
              <w:bottom w:val="single" w:sz="8" w:space="0" w:color="auto"/>
              <w:right w:val="single" w:sz="8" w:space="0" w:color="auto"/>
            </w:tcBorders>
            <w:noWrap/>
            <w:vAlign w:val="bottom"/>
            <w:hideMark/>
          </w:tcPr>
          <w:p w14:paraId="74E97293" w14:textId="77777777" w:rsidR="00B6591A" w:rsidRDefault="00B6591A">
            <w:pPr>
              <w:spacing w:line="256" w:lineRule="auto"/>
              <w:rPr>
                <w:color w:val="000000"/>
                <w:szCs w:val="20"/>
              </w:rPr>
            </w:pPr>
            <w:r>
              <w:rPr>
                <w:color w:val="000000"/>
                <w:szCs w:val="20"/>
              </w:rPr>
              <w:t xml:space="preserve">R18 </w:t>
            </w:r>
            <w:proofErr w:type="spellStart"/>
            <w:r>
              <w:rPr>
                <w:color w:val="000000"/>
                <w:szCs w:val="20"/>
              </w:rPr>
              <w:t>enh</w:t>
            </w:r>
            <w:proofErr w:type="spellEnd"/>
            <w:r>
              <w:rPr>
                <w:color w:val="000000"/>
                <w:szCs w:val="20"/>
              </w:rPr>
              <w:t>.</w:t>
            </w:r>
          </w:p>
        </w:tc>
        <w:tc>
          <w:tcPr>
            <w:tcW w:w="997" w:type="dxa"/>
            <w:tcBorders>
              <w:top w:val="single" w:sz="8" w:space="0" w:color="auto"/>
              <w:left w:val="single" w:sz="8" w:space="0" w:color="auto"/>
              <w:bottom w:val="single" w:sz="8" w:space="0" w:color="auto"/>
              <w:right w:val="single" w:sz="8" w:space="0" w:color="auto"/>
            </w:tcBorders>
            <w:noWrap/>
            <w:vAlign w:val="bottom"/>
            <w:hideMark/>
          </w:tcPr>
          <w:p w14:paraId="3ADD5BE0" w14:textId="77777777" w:rsidR="00B6591A" w:rsidRDefault="00B6591A">
            <w:pPr>
              <w:spacing w:line="256" w:lineRule="auto"/>
              <w:rPr>
                <w:color w:val="000000"/>
                <w:szCs w:val="20"/>
              </w:rPr>
            </w:pPr>
            <w:r>
              <w:rPr>
                <w:color w:val="000000"/>
                <w:szCs w:val="20"/>
              </w:rPr>
              <w:t>Gain (%)</w:t>
            </w:r>
          </w:p>
        </w:tc>
      </w:tr>
      <w:tr w:rsidR="00B6591A" w14:paraId="79FB1949" w14:textId="77777777" w:rsidTr="00B6591A">
        <w:trPr>
          <w:trHeight w:val="663"/>
        </w:trPr>
        <w:tc>
          <w:tcPr>
            <w:tcW w:w="472" w:type="dxa"/>
            <w:tcBorders>
              <w:top w:val="single" w:sz="8" w:space="0" w:color="auto"/>
              <w:left w:val="single" w:sz="8" w:space="0" w:color="auto"/>
              <w:bottom w:val="single" w:sz="8" w:space="0" w:color="auto"/>
              <w:right w:val="single" w:sz="8" w:space="0" w:color="auto"/>
            </w:tcBorders>
            <w:noWrap/>
            <w:vAlign w:val="center"/>
            <w:hideMark/>
          </w:tcPr>
          <w:p w14:paraId="68761A26" w14:textId="77777777" w:rsidR="00B6591A" w:rsidRDefault="00B6591A">
            <w:pPr>
              <w:spacing w:line="256" w:lineRule="auto"/>
              <w:jc w:val="right"/>
              <w:rPr>
                <w:color w:val="000000"/>
                <w:sz w:val="16"/>
                <w:szCs w:val="16"/>
              </w:rPr>
            </w:pPr>
            <w:r>
              <w:rPr>
                <w:color w:val="000000"/>
                <w:sz w:val="16"/>
                <w:szCs w:val="16"/>
              </w:rPr>
              <w:t>1</w:t>
            </w:r>
          </w:p>
        </w:tc>
        <w:tc>
          <w:tcPr>
            <w:tcW w:w="1137" w:type="dxa"/>
            <w:tcBorders>
              <w:top w:val="single" w:sz="8" w:space="0" w:color="auto"/>
              <w:left w:val="single" w:sz="8" w:space="0" w:color="auto"/>
              <w:bottom w:val="single" w:sz="8" w:space="0" w:color="auto"/>
              <w:right w:val="single" w:sz="8" w:space="0" w:color="auto"/>
            </w:tcBorders>
            <w:noWrap/>
            <w:vAlign w:val="center"/>
            <w:hideMark/>
          </w:tcPr>
          <w:p w14:paraId="15D61AB8" w14:textId="77777777" w:rsidR="00B6591A" w:rsidRDefault="00B6591A">
            <w:pPr>
              <w:spacing w:line="256" w:lineRule="auto"/>
              <w:rPr>
                <w:color w:val="000000"/>
                <w:sz w:val="16"/>
                <w:szCs w:val="16"/>
              </w:rPr>
            </w:pPr>
            <w:r>
              <w:rPr>
                <w:color w:val="000000"/>
                <w:sz w:val="16"/>
                <w:szCs w:val="16"/>
              </w:rPr>
              <w:t xml:space="preserve">#1A-O2 </w:t>
            </w:r>
          </w:p>
        </w:tc>
        <w:tc>
          <w:tcPr>
            <w:tcW w:w="4707" w:type="dxa"/>
            <w:tcBorders>
              <w:top w:val="single" w:sz="8" w:space="0" w:color="auto"/>
              <w:left w:val="single" w:sz="8" w:space="0" w:color="auto"/>
              <w:bottom w:val="single" w:sz="8" w:space="0" w:color="auto"/>
              <w:right w:val="single" w:sz="8" w:space="0" w:color="auto"/>
            </w:tcBorders>
            <w:vAlign w:val="center"/>
            <w:hideMark/>
          </w:tcPr>
          <w:p w14:paraId="51CBC26F" w14:textId="77777777" w:rsidR="00B6591A" w:rsidRDefault="00B6591A">
            <w:pPr>
              <w:spacing w:line="256" w:lineRule="auto"/>
              <w:rPr>
                <w:color w:val="000000"/>
                <w:sz w:val="16"/>
                <w:szCs w:val="16"/>
              </w:rPr>
            </w:pPr>
            <w:r>
              <w:rPr>
                <w:color w:val="000000"/>
                <w:sz w:val="16"/>
                <w:szCs w:val="16"/>
              </w:rPr>
              <w:t xml:space="preserve">1sym CS/SS in s1, legacy RE mapping, legacy Rx processing for PDCCH REs and PDCCH DMRS REs and legacy CE. </w:t>
            </w:r>
          </w:p>
          <w:p w14:paraId="10EF0201" w14:textId="77777777" w:rsidR="00B6591A" w:rsidRDefault="00B6591A">
            <w:pPr>
              <w:spacing w:line="256" w:lineRule="auto"/>
              <w:rPr>
                <w:color w:val="000000"/>
                <w:sz w:val="16"/>
                <w:szCs w:val="16"/>
              </w:rPr>
            </w:pPr>
            <w:r>
              <w:rPr>
                <w:color w:val="000000"/>
                <w:sz w:val="16"/>
                <w:szCs w:val="16"/>
              </w:rPr>
              <w:t>More details in section 2.3.1 and Observation 6</w:t>
            </w:r>
          </w:p>
        </w:tc>
        <w:tc>
          <w:tcPr>
            <w:tcW w:w="970" w:type="dxa"/>
            <w:tcBorders>
              <w:top w:val="single" w:sz="8" w:space="0" w:color="auto"/>
              <w:left w:val="single" w:sz="8" w:space="0" w:color="auto"/>
              <w:bottom w:val="single" w:sz="8" w:space="0" w:color="auto"/>
              <w:right w:val="single" w:sz="8" w:space="0" w:color="auto"/>
            </w:tcBorders>
            <w:noWrap/>
            <w:vAlign w:val="center"/>
            <w:hideMark/>
          </w:tcPr>
          <w:p w14:paraId="3C2CA67F" w14:textId="77777777" w:rsidR="00B6591A" w:rsidRDefault="00B6591A">
            <w:pPr>
              <w:spacing w:line="256" w:lineRule="auto"/>
              <w:jc w:val="center"/>
              <w:rPr>
                <w:color w:val="000000"/>
                <w:sz w:val="16"/>
                <w:szCs w:val="16"/>
              </w:rPr>
            </w:pPr>
            <w:r>
              <w:rPr>
                <w:color w:val="000000"/>
                <w:sz w:val="16"/>
                <w:szCs w:val="16"/>
              </w:rPr>
              <w:t>2.9</w:t>
            </w:r>
          </w:p>
        </w:tc>
        <w:tc>
          <w:tcPr>
            <w:tcW w:w="994" w:type="dxa"/>
            <w:tcBorders>
              <w:top w:val="single" w:sz="8" w:space="0" w:color="auto"/>
              <w:left w:val="single" w:sz="8" w:space="0" w:color="auto"/>
              <w:bottom w:val="single" w:sz="8" w:space="0" w:color="auto"/>
              <w:right w:val="single" w:sz="8" w:space="0" w:color="auto"/>
            </w:tcBorders>
            <w:noWrap/>
            <w:vAlign w:val="center"/>
            <w:hideMark/>
          </w:tcPr>
          <w:p w14:paraId="17FC3094" w14:textId="77777777" w:rsidR="00B6591A" w:rsidRDefault="00B6591A">
            <w:pPr>
              <w:spacing w:line="256" w:lineRule="auto"/>
              <w:jc w:val="center"/>
              <w:rPr>
                <w:color w:val="000000"/>
                <w:sz w:val="16"/>
                <w:szCs w:val="16"/>
              </w:rPr>
            </w:pPr>
            <w:r>
              <w:rPr>
                <w:color w:val="000000"/>
                <w:sz w:val="16"/>
                <w:szCs w:val="16"/>
              </w:rPr>
              <w:t>4.3</w:t>
            </w:r>
          </w:p>
        </w:tc>
        <w:tc>
          <w:tcPr>
            <w:tcW w:w="997" w:type="dxa"/>
            <w:tcBorders>
              <w:top w:val="single" w:sz="8" w:space="0" w:color="auto"/>
              <w:left w:val="single" w:sz="8" w:space="0" w:color="auto"/>
              <w:bottom w:val="single" w:sz="8" w:space="0" w:color="auto"/>
              <w:right w:val="single" w:sz="8" w:space="0" w:color="auto"/>
            </w:tcBorders>
            <w:noWrap/>
            <w:vAlign w:val="center"/>
            <w:hideMark/>
          </w:tcPr>
          <w:p w14:paraId="40E05A75" w14:textId="77777777" w:rsidR="00B6591A" w:rsidRDefault="00B6591A">
            <w:pPr>
              <w:spacing w:line="256" w:lineRule="auto"/>
              <w:jc w:val="center"/>
              <w:rPr>
                <w:color w:val="000000"/>
                <w:sz w:val="16"/>
                <w:szCs w:val="16"/>
              </w:rPr>
            </w:pPr>
            <w:r>
              <w:rPr>
                <w:color w:val="000000"/>
                <w:sz w:val="16"/>
                <w:szCs w:val="16"/>
              </w:rPr>
              <w:t>47</w:t>
            </w:r>
          </w:p>
        </w:tc>
      </w:tr>
      <w:tr w:rsidR="00B6591A" w14:paraId="00A80E6E" w14:textId="77777777" w:rsidTr="00B6591A">
        <w:trPr>
          <w:trHeight w:val="663"/>
        </w:trPr>
        <w:tc>
          <w:tcPr>
            <w:tcW w:w="472" w:type="dxa"/>
            <w:tcBorders>
              <w:top w:val="single" w:sz="8" w:space="0" w:color="auto"/>
              <w:left w:val="single" w:sz="8" w:space="0" w:color="auto"/>
              <w:bottom w:val="single" w:sz="8" w:space="0" w:color="auto"/>
              <w:right w:val="single" w:sz="8" w:space="0" w:color="auto"/>
            </w:tcBorders>
            <w:noWrap/>
            <w:vAlign w:val="center"/>
            <w:hideMark/>
          </w:tcPr>
          <w:p w14:paraId="3105FD1B" w14:textId="77777777" w:rsidR="00B6591A" w:rsidRDefault="00B6591A">
            <w:pPr>
              <w:spacing w:line="256" w:lineRule="auto"/>
              <w:jc w:val="right"/>
              <w:rPr>
                <w:color w:val="000000"/>
                <w:sz w:val="16"/>
                <w:szCs w:val="16"/>
              </w:rPr>
            </w:pPr>
            <w:r>
              <w:rPr>
                <w:color w:val="000000"/>
                <w:sz w:val="16"/>
                <w:szCs w:val="16"/>
              </w:rPr>
              <w:t>2</w:t>
            </w:r>
          </w:p>
        </w:tc>
        <w:tc>
          <w:tcPr>
            <w:tcW w:w="1137" w:type="dxa"/>
            <w:tcBorders>
              <w:top w:val="single" w:sz="8" w:space="0" w:color="auto"/>
              <w:left w:val="single" w:sz="8" w:space="0" w:color="auto"/>
              <w:bottom w:val="single" w:sz="8" w:space="0" w:color="auto"/>
              <w:right w:val="single" w:sz="8" w:space="0" w:color="auto"/>
            </w:tcBorders>
            <w:noWrap/>
            <w:vAlign w:val="center"/>
            <w:hideMark/>
          </w:tcPr>
          <w:p w14:paraId="4DCBCAC0" w14:textId="77777777" w:rsidR="00B6591A" w:rsidRDefault="00B6591A">
            <w:pPr>
              <w:spacing w:line="256" w:lineRule="auto"/>
              <w:rPr>
                <w:color w:val="000000"/>
                <w:sz w:val="16"/>
                <w:szCs w:val="16"/>
              </w:rPr>
            </w:pPr>
            <w:r>
              <w:rPr>
                <w:color w:val="000000"/>
                <w:sz w:val="16"/>
                <w:szCs w:val="16"/>
              </w:rPr>
              <w:t>#1A-O2a</w:t>
            </w:r>
          </w:p>
        </w:tc>
        <w:tc>
          <w:tcPr>
            <w:tcW w:w="4707" w:type="dxa"/>
            <w:tcBorders>
              <w:top w:val="single" w:sz="8" w:space="0" w:color="auto"/>
              <w:left w:val="single" w:sz="8" w:space="0" w:color="auto"/>
              <w:bottom w:val="single" w:sz="8" w:space="0" w:color="auto"/>
              <w:right w:val="single" w:sz="8" w:space="0" w:color="auto"/>
            </w:tcBorders>
            <w:vAlign w:val="center"/>
            <w:hideMark/>
          </w:tcPr>
          <w:p w14:paraId="1E2E0EB4" w14:textId="77777777" w:rsidR="00B6591A" w:rsidRDefault="00B6591A">
            <w:pPr>
              <w:spacing w:line="256" w:lineRule="auto"/>
              <w:rPr>
                <w:color w:val="000000"/>
                <w:sz w:val="16"/>
                <w:szCs w:val="16"/>
              </w:rPr>
            </w:pPr>
            <w:r>
              <w:rPr>
                <w:color w:val="000000"/>
                <w:sz w:val="16"/>
                <w:szCs w:val="16"/>
              </w:rPr>
              <w:t>1sym CS/SS in s1, legacy RE mapping, legacy Rx processing for PDCCH DMRS REs and legacy CE, PDCCH REs overlapping with CRS punctured/nulled by Rx.</w:t>
            </w:r>
          </w:p>
          <w:p w14:paraId="67F6D8E5" w14:textId="77777777" w:rsidR="00B6591A" w:rsidRDefault="00B6591A">
            <w:pPr>
              <w:spacing w:line="256" w:lineRule="auto"/>
              <w:rPr>
                <w:color w:val="000000"/>
                <w:sz w:val="16"/>
                <w:szCs w:val="16"/>
              </w:rPr>
            </w:pPr>
            <w:r>
              <w:rPr>
                <w:color w:val="000000"/>
                <w:sz w:val="16"/>
                <w:szCs w:val="16"/>
              </w:rPr>
              <w:t>More details in section 2.3.1 and Observation 6</w:t>
            </w:r>
          </w:p>
        </w:tc>
        <w:tc>
          <w:tcPr>
            <w:tcW w:w="970" w:type="dxa"/>
            <w:tcBorders>
              <w:top w:val="single" w:sz="8" w:space="0" w:color="auto"/>
              <w:left w:val="single" w:sz="8" w:space="0" w:color="auto"/>
              <w:bottom w:val="single" w:sz="8" w:space="0" w:color="auto"/>
              <w:right w:val="single" w:sz="8" w:space="0" w:color="auto"/>
            </w:tcBorders>
            <w:noWrap/>
            <w:vAlign w:val="center"/>
            <w:hideMark/>
          </w:tcPr>
          <w:p w14:paraId="03EBAA4D" w14:textId="77777777" w:rsidR="00B6591A" w:rsidRDefault="00B6591A">
            <w:pPr>
              <w:spacing w:line="256" w:lineRule="auto"/>
              <w:jc w:val="center"/>
              <w:rPr>
                <w:color w:val="000000"/>
                <w:sz w:val="16"/>
                <w:szCs w:val="16"/>
              </w:rPr>
            </w:pPr>
            <w:r>
              <w:rPr>
                <w:color w:val="000000"/>
                <w:sz w:val="16"/>
                <w:szCs w:val="16"/>
              </w:rPr>
              <w:t>2.9</w:t>
            </w:r>
          </w:p>
        </w:tc>
        <w:tc>
          <w:tcPr>
            <w:tcW w:w="994" w:type="dxa"/>
            <w:tcBorders>
              <w:top w:val="single" w:sz="8" w:space="0" w:color="auto"/>
              <w:left w:val="single" w:sz="8" w:space="0" w:color="auto"/>
              <w:bottom w:val="single" w:sz="8" w:space="0" w:color="auto"/>
              <w:right w:val="single" w:sz="8" w:space="0" w:color="auto"/>
            </w:tcBorders>
            <w:vAlign w:val="center"/>
            <w:hideMark/>
          </w:tcPr>
          <w:p w14:paraId="02F10F0A" w14:textId="77777777" w:rsidR="00B6591A" w:rsidRDefault="00B6591A">
            <w:pPr>
              <w:spacing w:line="256" w:lineRule="auto"/>
              <w:jc w:val="center"/>
              <w:rPr>
                <w:color w:val="000000"/>
                <w:sz w:val="16"/>
                <w:szCs w:val="16"/>
              </w:rPr>
            </w:pPr>
            <w:r>
              <w:rPr>
                <w:color w:val="000000"/>
                <w:sz w:val="16"/>
                <w:szCs w:val="16"/>
              </w:rPr>
              <w:t>4.8</w:t>
            </w:r>
          </w:p>
        </w:tc>
        <w:tc>
          <w:tcPr>
            <w:tcW w:w="997" w:type="dxa"/>
            <w:tcBorders>
              <w:top w:val="single" w:sz="8" w:space="0" w:color="auto"/>
              <w:left w:val="single" w:sz="8" w:space="0" w:color="auto"/>
              <w:bottom w:val="single" w:sz="8" w:space="0" w:color="auto"/>
              <w:right w:val="single" w:sz="8" w:space="0" w:color="auto"/>
            </w:tcBorders>
            <w:vAlign w:val="center"/>
            <w:hideMark/>
          </w:tcPr>
          <w:p w14:paraId="74DA958C" w14:textId="77777777" w:rsidR="00B6591A" w:rsidRDefault="00B6591A">
            <w:pPr>
              <w:spacing w:line="256" w:lineRule="auto"/>
              <w:jc w:val="center"/>
              <w:rPr>
                <w:color w:val="000000"/>
                <w:sz w:val="16"/>
                <w:szCs w:val="16"/>
              </w:rPr>
            </w:pPr>
            <w:r>
              <w:rPr>
                <w:color w:val="000000"/>
                <w:sz w:val="16"/>
                <w:szCs w:val="16"/>
              </w:rPr>
              <w:t>67</w:t>
            </w:r>
          </w:p>
        </w:tc>
      </w:tr>
      <w:tr w:rsidR="00B6591A" w:rsidRPr="00B6591A" w14:paraId="5B2D37A3" w14:textId="77777777" w:rsidTr="00B6591A">
        <w:trPr>
          <w:trHeight w:val="663"/>
        </w:trPr>
        <w:tc>
          <w:tcPr>
            <w:tcW w:w="472" w:type="dxa"/>
            <w:tcBorders>
              <w:top w:val="single" w:sz="8" w:space="0" w:color="auto"/>
              <w:left w:val="single" w:sz="8" w:space="0" w:color="auto"/>
              <w:bottom w:val="single" w:sz="8" w:space="0" w:color="auto"/>
              <w:right w:val="single" w:sz="8" w:space="0" w:color="auto"/>
            </w:tcBorders>
            <w:noWrap/>
            <w:vAlign w:val="center"/>
            <w:hideMark/>
          </w:tcPr>
          <w:p w14:paraId="4A3E5206" w14:textId="77777777" w:rsidR="00B6591A" w:rsidRPr="00B6591A" w:rsidRDefault="00B6591A">
            <w:pPr>
              <w:spacing w:line="256" w:lineRule="auto"/>
              <w:jc w:val="right"/>
              <w:rPr>
                <w:color w:val="D9D9D9" w:themeColor="background1" w:themeShade="D9"/>
                <w:sz w:val="16"/>
                <w:szCs w:val="16"/>
              </w:rPr>
            </w:pPr>
            <w:r w:rsidRPr="00B6591A">
              <w:rPr>
                <w:color w:val="D9D9D9" w:themeColor="background1" w:themeShade="D9"/>
                <w:sz w:val="16"/>
                <w:szCs w:val="16"/>
              </w:rPr>
              <w:t>3</w:t>
            </w:r>
          </w:p>
        </w:tc>
        <w:tc>
          <w:tcPr>
            <w:tcW w:w="1137" w:type="dxa"/>
            <w:tcBorders>
              <w:top w:val="single" w:sz="8" w:space="0" w:color="auto"/>
              <w:left w:val="single" w:sz="8" w:space="0" w:color="auto"/>
              <w:bottom w:val="single" w:sz="8" w:space="0" w:color="auto"/>
              <w:right w:val="single" w:sz="8" w:space="0" w:color="auto"/>
            </w:tcBorders>
            <w:noWrap/>
            <w:vAlign w:val="center"/>
            <w:hideMark/>
          </w:tcPr>
          <w:p w14:paraId="53DD95A2" w14:textId="77777777" w:rsidR="00B6591A" w:rsidRPr="00B6591A" w:rsidRDefault="00B6591A">
            <w:pPr>
              <w:spacing w:line="256" w:lineRule="auto"/>
              <w:rPr>
                <w:color w:val="D9D9D9" w:themeColor="background1" w:themeShade="D9"/>
                <w:sz w:val="16"/>
                <w:szCs w:val="16"/>
              </w:rPr>
            </w:pPr>
            <w:r w:rsidRPr="00B6591A">
              <w:rPr>
                <w:color w:val="D9D9D9" w:themeColor="background1" w:themeShade="D9"/>
                <w:sz w:val="16"/>
                <w:szCs w:val="16"/>
              </w:rPr>
              <w:t>#1A-O2b</w:t>
            </w:r>
          </w:p>
        </w:tc>
        <w:tc>
          <w:tcPr>
            <w:tcW w:w="4707" w:type="dxa"/>
            <w:tcBorders>
              <w:top w:val="single" w:sz="8" w:space="0" w:color="auto"/>
              <w:left w:val="single" w:sz="8" w:space="0" w:color="auto"/>
              <w:bottom w:val="single" w:sz="8" w:space="0" w:color="auto"/>
              <w:right w:val="single" w:sz="8" w:space="0" w:color="auto"/>
            </w:tcBorders>
            <w:vAlign w:val="center"/>
            <w:hideMark/>
          </w:tcPr>
          <w:p w14:paraId="76C24AE7" w14:textId="77777777" w:rsidR="00B6591A" w:rsidRPr="00B6591A" w:rsidRDefault="00B6591A">
            <w:pPr>
              <w:spacing w:line="256" w:lineRule="auto"/>
              <w:rPr>
                <w:color w:val="D9D9D9" w:themeColor="background1" w:themeShade="D9"/>
                <w:sz w:val="16"/>
                <w:szCs w:val="16"/>
              </w:rPr>
            </w:pPr>
            <w:r w:rsidRPr="00B6591A">
              <w:rPr>
                <w:color w:val="D9D9D9" w:themeColor="background1" w:themeShade="D9"/>
                <w:sz w:val="16"/>
                <w:szCs w:val="16"/>
              </w:rPr>
              <w:t>1sym CS/SS in s1, legacy RE mapping, PDCCH REs and PDCCH DMRS REs overlapping with CRS punctured/nulled by Rx.</w:t>
            </w:r>
          </w:p>
          <w:p w14:paraId="16C08512" w14:textId="77777777" w:rsidR="00B6591A" w:rsidRPr="00B6591A" w:rsidRDefault="00B6591A">
            <w:pPr>
              <w:spacing w:line="256" w:lineRule="auto"/>
              <w:rPr>
                <w:color w:val="D9D9D9" w:themeColor="background1" w:themeShade="D9"/>
                <w:sz w:val="16"/>
                <w:szCs w:val="16"/>
              </w:rPr>
            </w:pPr>
            <w:r w:rsidRPr="00B6591A">
              <w:rPr>
                <w:color w:val="D9D9D9" w:themeColor="background1" w:themeShade="D9"/>
                <w:sz w:val="16"/>
                <w:szCs w:val="16"/>
              </w:rPr>
              <w:t>More details in section 2.3.1 and Observation 6</w:t>
            </w:r>
          </w:p>
        </w:tc>
        <w:tc>
          <w:tcPr>
            <w:tcW w:w="970" w:type="dxa"/>
            <w:tcBorders>
              <w:top w:val="single" w:sz="8" w:space="0" w:color="auto"/>
              <w:left w:val="single" w:sz="8" w:space="0" w:color="auto"/>
              <w:bottom w:val="single" w:sz="8" w:space="0" w:color="auto"/>
              <w:right w:val="single" w:sz="8" w:space="0" w:color="auto"/>
            </w:tcBorders>
            <w:noWrap/>
            <w:vAlign w:val="center"/>
            <w:hideMark/>
          </w:tcPr>
          <w:p w14:paraId="72BDAE78" w14:textId="77777777" w:rsidR="00B6591A" w:rsidRPr="00B6591A" w:rsidRDefault="00B6591A">
            <w:pPr>
              <w:spacing w:line="256" w:lineRule="auto"/>
              <w:jc w:val="center"/>
              <w:rPr>
                <w:color w:val="D9D9D9" w:themeColor="background1" w:themeShade="D9"/>
                <w:sz w:val="16"/>
                <w:szCs w:val="16"/>
              </w:rPr>
            </w:pPr>
            <w:r w:rsidRPr="00B6591A">
              <w:rPr>
                <w:color w:val="D9D9D9" w:themeColor="background1" w:themeShade="D9"/>
                <w:sz w:val="16"/>
                <w:szCs w:val="16"/>
              </w:rPr>
              <w:t>2.9</w:t>
            </w:r>
          </w:p>
        </w:tc>
        <w:tc>
          <w:tcPr>
            <w:tcW w:w="994" w:type="dxa"/>
            <w:tcBorders>
              <w:top w:val="single" w:sz="8" w:space="0" w:color="auto"/>
              <w:left w:val="single" w:sz="8" w:space="0" w:color="auto"/>
              <w:bottom w:val="single" w:sz="8" w:space="0" w:color="auto"/>
              <w:right w:val="single" w:sz="8" w:space="0" w:color="auto"/>
            </w:tcBorders>
            <w:vAlign w:val="center"/>
            <w:hideMark/>
          </w:tcPr>
          <w:p w14:paraId="71DB34DE" w14:textId="77777777" w:rsidR="00B6591A" w:rsidRPr="00B6591A" w:rsidRDefault="00B6591A">
            <w:pPr>
              <w:spacing w:line="256" w:lineRule="auto"/>
              <w:jc w:val="center"/>
              <w:rPr>
                <w:color w:val="D9D9D9" w:themeColor="background1" w:themeShade="D9"/>
                <w:sz w:val="16"/>
                <w:szCs w:val="16"/>
              </w:rPr>
            </w:pPr>
            <w:r w:rsidRPr="00B6591A">
              <w:rPr>
                <w:color w:val="D9D9D9" w:themeColor="background1" w:themeShade="D9"/>
                <w:sz w:val="16"/>
                <w:szCs w:val="16"/>
              </w:rPr>
              <w:t>5.1</w:t>
            </w:r>
          </w:p>
        </w:tc>
        <w:tc>
          <w:tcPr>
            <w:tcW w:w="997" w:type="dxa"/>
            <w:tcBorders>
              <w:top w:val="single" w:sz="8" w:space="0" w:color="auto"/>
              <w:left w:val="single" w:sz="8" w:space="0" w:color="auto"/>
              <w:bottom w:val="single" w:sz="8" w:space="0" w:color="auto"/>
              <w:right w:val="single" w:sz="8" w:space="0" w:color="auto"/>
            </w:tcBorders>
            <w:vAlign w:val="center"/>
            <w:hideMark/>
          </w:tcPr>
          <w:p w14:paraId="01880B7C" w14:textId="77777777" w:rsidR="00B6591A" w:rsidRPr="00B6591A" w:rsidRDefault="00B6591A">
            <w:pPr>
              <w:spacing w:line="256" w:lineRule="auto"/>
              <w:jc w:val="center"/>
              <w:rPr>
                <w:color w:val="D9D9D9" w:themeColor="background1" w:themeShade="D9"/>
                <w:sz w:val="16"/>
                <w:szCs w:val="16"/>
              </w:rPr>
            </w:pPr>
            <w:r w:rsidRPr="00B6591A">
              <w:rPr>
                <w:color w:val="D9D9D9" w:themeColor="background1" w:themeShade="D9"/>
                <w:sz w:val="16"/>
                <w:szCs w:val="16"/>
              </w:rPr>
              <w:t>77</w:t>
            </w:r>
          </w:p>
        </w:tc>
      </w:tr>
      <w:tr w:rsidR="00B6591A" w14:paraId="76BB4BE2" w14:textId="77777777" w:rsidTr="00B6591A">
        <w:trPr>
          <w:trHeight w:val="663"/>
        </w:trPr>
        <w:tc>
          <w:tcPr>
            <w:tcW w:w="9277" w:type="dxa"/>
            <w:gridSpan w:val="6"/>
            <w:tcBorders>
              <w:top w:val="single" w:sz="8" w:space="0" w:color="auto"/>
              <w:left w:val="single" w:sz="8" w:space="0" w:color="auto"/>
              <w:bottom w:val="single" w:sz="8" w:space="0" w:color="auto"/>
              <w:right w:val="single" w:sz="8" w:space="0" w:color="auto"/>
            </w:tcBorders>
            <w:noWrap/>
            <w:vAlign w:val="center"/>
            <w:hideMark/>
          </w:tcPr>
          <w:p w14:paraId="70BC4CC4" w14:textId="77777777" w:rsidR="00B6591A" w:rsidRDefault="00B6591A">
            <w:pPr>
              <w:spacing w:line="256" w:lineRule="auto"/>
              <w:rPr>
                <w:rFonts w:ascii="Calibri" w:hAnsi="Calibri" w:cs="Calibri"/>
                <w:color w:val="000000"/>
                <w:sz w:val="18"/>
                <w:szCs w:val="18"/>
              </w:rPr>
            </w:pPr>
            <w:r>
              <w:rPr>
                <w:rFonts w:ascii="Calibri" w:hAnsi="Calibri" w:cs="Calibri"/>
                <w:color w:val="000000"/>
                <w:sz w:val="18"/>
                <w:szCs w:val="18"/>
              </w:rPr>
              <w:t>Notes:</w:t>
            </w:r>
          </w:p>
          <w:p w14:paraId="02D9FDBB" w14:textId="77777777" w:rsidR="00B6591A" w:rsidRDefault="00B6591A">
            <w:pPr>
              <w:spacing w:line="256" w:lineRule="auto"/>
              <w:rPr>
                <w:rFonts w:ascii="Calibri" w:hAnsi="Calibri" w:cs="Calibri"/>
                <w:color w:val="000000"/>
                <w:sz w:val="18"/>
                <w:szCs w:val="18"/>
              </w:rPr>
            </w:pPr>
            <w:r>
              <w:rPr>
                <w:rFonts w:ascii="Calibri" w:hAnsi="Calibri" w:cs="Calibri"/>
                <w:color w:val="000000"/>
                <w:sz w:val="18"/>
                <w:szCs w:val="18"/>
              </w:rPr>
              <w:t>1. 1sym NR PDCCH in s2 used as baseline with s0, s1 reserved for LTE PDCCH and remaining 11 symbols for data.</w:t>
            </w:r>
          </w:p>
          <w:p w14:paraId="7FE7B297" w14:textId="77777777" w:rsidR="00B6591A" w:rsidRDefault="00B6591A">
            <w:pPr>
              <w:spacing w:line="256" w:lineRule="auto"/>
              <w:rPr>
                <w:rFonts w:ascii="Calibri" w:hAnsi="Calibri" w:cs="Calibri"/>
                <w:color w:val="000000"/>
                <w:sz w:val="18"/>
                <w:szCs w:val="18"/>
              </w:rPr>
            </w:pPr>
            <w:r>
              <w:rPr>
                <w:rFonts w:ascii="Calibri" w:hAnsi="Calibri" w:cs="Calibri"/>
                <w:color w:val="000000"/>
                <w:sz w:val="18"/>
                <w:szCs w:val="18"/>
              </w:rPr>
              <w:t>2. Details such as coexistence assumptions and % UEs that can support the Rel18 enhancement are provided in the corresponding Observation 6 mentioned in the description. CS/SS implies CORESET/Search space.</w:t>
            </w:r>
          </w:p>
        </w:tc>
      </w:tr>
    </w:tbl>
    <w:p w14:paraId="0A5B05C8" w14:textId="77777777" w:rsidR="00B6591A" w:rsidRDefault="00B6591A" w:rsidP="00B6591A">
      <w:pPr>
        <w:pStyle w:val="BodyText"/>
      </w:pPr>
    </w:p>
    <w:p w14:paraId="60F973B0" w14:textId="77777777" w:rsidR="00B6591A" w:rsidRDefault="00B6591A" w:rsidP="00B6591A">
      <w:pPr>
        <w:pStyle w:val="Caption"/>
      </w:pPr>
      <w:r>
        <w:t>Table 2.3.0-2. Summary of PDCCH capacity evaluations (Scenario #2)</w:t>
      </w:r>
    </w:p>
    <w:tbl>
      <w:tblPr>
        <w:tblW w:w="9277" w:type="dxa"/>
        <w:tblInd w:w="-10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72"/>
        <w:gridCol w:w="1137"/>
        <w:gridCol w:w="4707"/>
        <w:gridCol w:w="970"/>
        <w:gridCol w:w="994"/>
        <w:gridCol w:w="997"/>
      </w:tblGrid>
      <w:tr w:rsidR="00B6591A" w14:paraId="69069702" w14:textId="77777777" w:rsidTr="00B6591A">
        <w:trPr>
          <w:trHeight w:val="286"/>
        </w:trPr>
        <w:tc>
          <w:tcPr>
            <w:tcW w:w="472" w:type="dxa"/>
            <w:vMerge w:val="restart"/>
            <w:tcBorders>
              <w:top w:val="single" w:sz="8" w:space="0" w:color="auto"/>
              <w:left w:val="single" w:sz="8" w:space="0" w:color="auto"/>
              <w:bottom w:val="single" w:sz="8" w:space="0" w:color="auto"/>
              <w:right w:val="single" w:sz="8" w:space="0" w:color="auto"/>
            </w:tcBorders>
            <w:noWrap/>
            <w:vAlign w:val="center"/>
            <w:hideMark/>
          </w:tcPr>
          <w:p w14:paraId="5CD82351" w14:textId="77777777" w:rsidR="00B6591A" w:rsidRDefault="00B6591A">
            <w:pPr>
              <w:spacing w:line="256" w:lineRule="auto"/>
              <w:jc w:val="center"/>
              <w:rPr>
                <w:color w:val="000000"/>
                <w:szCs w:val="20"/>
              </w:rPr>
            </w:pPr>
            <w:r>
              <w:rPr>
                <w:color w:val="000000"/>
                <w:szCs w:val="20"/>
              </w:rPr>
              <w:t> </w:t>
            </w:r>
          </w:p>
        </w:tc>
        <w:tc>
          <w:tcPr>
            <w:tcW w:w="1137" w:type="dxa"/>
            <w:vMerge w:val="restart"/>
            <w:tcBorders>
              <w:top w:val="single" w:sz="8" w:space="0" w:color="auto"/>
              <w:left w:val="single" w:sz="8" w:space="0" w:color="auto"/>
              <w:bottom w:val="single" w:sz="8" w:space="0" w:color="auto"/>
              <w:right w:val="single" w:sz="8" w:space="0" w:color="auto"/>
            </w:tcBorders>
            <w:noWrap/>
            <w:vAlign w:val="center"/>
            <w:hideMark/>
          </w:tcPr>
          <w:p w14:paraId="6ACFC858" w14:textId="77777777" w:rsidR="00B6591A" w:rsidRDefault="00B6591A">
            <w:pPr>
              <w:spacing w:line="256" w:lineRule="auto"/>
              <w:jc w:val="center"/>
              <w:rPr>
                <w:color w:val="000000"/>
                <w:szCs w:val="20"/>
              </w:rPr>
            </w:pPr>
            <w:r>
              <w:rPr>
                <w:color w:val="000000"/>
                <w:szCs w:val="20"/>
              </w:rPr>
              <w:t>Evaluated case</w:t>
            </w:r>
          </w:p>
        </w:tc>
        <w:tc>
          <w:tcPr>
            <w:tcW w:w="4707" w:type="dxa"/>
            <w:vMerge w:val="restart"/>
            <w:tcBorders>
              <w:top w:val="single" w:sz="8" w:space="0" w:color="auto"/>
              <w:left w:val="single" w:sz="8" w:space="0" w:color="auto"/>
              <w:bottom w:val="single" w:sz="8" w:space="0" w:color="auto"/>
              <w:right w:val="single" w:sz="8" w:space="0" w:color="auto"/>
            </w:tcBorders>
            <w:noWrap/>
            <w:vAlign w:val="center"/>
            <w:hideMark/>
          </w:tcPr>
          <w:p w14:paraId="4045C3B7" w14:textId="77777777" w:rsidR="00B6591A" w:rsidRDefault="00B6591A">
            <w:pPr>
              <w:spacing w:line="256" w:lineRule="auto"/>
              <w:jc w:val="center"/>
              <w:rPr>
                <w:color w:val="000000"/>
                <w:szCs w:val="20"/>
              </w:rPr>
            </w:pPr>
            <w:r>
              <w:rPr>
                <w:color w:val="000000"/>
                <w:szCs w:val="20"/>
              </w:rPr>
              <w:t xml:space="preserve">Description </w:t>
            </w:r>
            <w:r>
              <w:rPr>
                <w:color w:val="000000"/>
                <w:szCs w:val="20"/>
                <w:vertAlign w:val="superscript"/>
              </w:rPr>
              <w:t>2</w:t>
            </w:r>
          </w:p>
        </w:tc>
        <w:tc>
          <w:tcPr>
            <w:tcW w:w="2961" w:type="dxa"/>
            <w:gridSpan w:val="3"/>
            <w:tcBorders>
              <w:top w:val="single" w:sz="8" w:space="0" w:color="auto"/>
              <w:left w:val="single" w:sz="8" w:space="0" w:color="auto"/>
              <w:bottom w:val="single" w:sz="8" w:space="0" w:color="auto"/>
              <w:right w:val="single" w:sz="8" w:space="0" w:color="auto"/>
            </w:tcBorders>
            <w:noWrap/>
            <w:vAlign w:val="center"/>
            <w:hideMark/>
          </w:tcPr>
          <w:p w14:paraId="4F72251D" w14:textId="77777777" w:rsidR="00B6591A" w:rsidRDefault="00B6591A">
            <w:pPr>
              <w:spacing w:line="256" w:lineRule="auto"/>
              <w:jc w:val="center"/>
              <w:rPr>
                <w:color w:val="000000"/>
                <w:szCs w:val="20"/>
              </w:rPr>
            </w:pPr>
            <w:r>
              <w:rPr>
                <w:color w:val="000000"/>
                <w:szCs w:val="20"/>
              </w:rPr>
              <w:t>PDCCH capacity</w:t>
            </w:r>
            <w:r>
              <w:rPr>
                <w:color w:val="000000"/>
                <w:szCs w:val="20"/>
              </w:rPr>
              <w:br/>
              <w:t>(Avg. #DCIs per slot)</w:t>
            </w:r>
          </w:p>
        </w:tc>
      </w:tr>
      <w:tr w:rsidR="00B6591A" w14:paraId="32CBBFF8" w14:textId="77777777" w:rsidTr="00B6591A">
        <w:trPr>
          <w:trHeight w:val="286"/>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CDC20E3" w14:textId="77777777" w:rsidR="00B6591A" w:rsidRDefault="00B6591A">
            <w:pPr>
              <w:spacing w:line="256" w:lineRule="auto"/>
              <w:rPr>
                <w:color w:val="000000"/>
                <w:szCs w:val="20"/>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63E6734A" w14:textId="77777777" w:rsidR="00B6591A" w:rsidRDefault="00B6591A">
            <w:pPr>
              <w:spacing w:line="256" w:lineRule="auto"/>
              <w:rPr>
                <w:color w:val="000000"/>
                <w:szCs w:val="20"/>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1AE1BB05" w14:textId="77777777" w:rsidR="00B6591A" w:rsidRDefault="00B6591A">
            <w:pPr>
              <w:spacing w:line="256" w:lineRule="auto"/>
              <w:rPr>
                <w:color w:val="000000"/>
                <w:szCs w:val="20"/>
              </w:rPr>
            </w:pPr>
          </w:p>
        </w:tc>
        <w:tc>
          <w:tcPr>
            <w:tcW w:w="970" w:type="dxa"/>
            <w:tcBorders>
              <w:top w:val="single" w:sz="8" w:space="0" w:color="auto"/>
              <w:left w:val="single" w:sz="8" w:space="0" w:color="auto"/>
              <w:bottom w:val="single" w:sz="8" w:space="0" w:color="auto"/>
              <w:right w:val="single" w:sz="8" w:space="0" w:color="auto"/>
            </w:tcBorders>
            <w:noWrap/>
            <w:vAlign w:val="bottom"/>
            <w:hideMark/>
          </w:tcPr>
          <w:p w14:paraId="60D08030" w14:textId="77777777" w:rsidR="00B6591A" w:rsidRDefault="00B6591A">
            <w:pPr>
              <w:spacing w:line="256" w:lineRule="auto"/>
              <w:rPr>
                <w:color w:val="000000"/>
                <w:szCs w:val="20"/>
              </w:rPr>
            </w:pPr>
            <w:r>
              <w:rPr>
                <w:color w:val="000000"/>
                <w:szCs w:val="20"/>
              </w:rPr>
              <w:t>Baseline</w:t>
            </w:r>
            <w:r>
              <w:rPr>
                <w:color w:val="000000"/>
                <w:szCs w:val="20"/>
                <w:vertAlign w:val="superscript"/>
              </w:rPr>
              <w:t>1</w:t>
            </w:r>
          </w:p>
        </w:tc>
        <w:tc>
          <w:tcPr>
            <w:tcW w:w="994" w:type="dxa"/>
            <w:tcBorders>
              <w:top w:val="single" w:sz="8" w:space="0" w:color="auto"/>
              <w:left w:val="single" w:sz="8" w:space="0" w:color="auto"/>
              <w:bottom w:val="single" w:sz="8" w:space="0" w:color="auto"/>
              <w:right w:val="single" w:sz="8" w:space="0" w:color="auto"/>
            </w:tcBorders>
            <w:noWrap/>
            <w:vAlign w:val="bottom"/>
            <w:hideMark/>
          </w:tcPr>
          <w:p w14:paraId="39D29551" w14:textId="77777777" w:rsidR="00B6591A" w:rsidRDefault="00B6591A">
            <w:pPr>
              <w:spacing w:line="256" w:lineRule="auto"/>
              <w:rPr>
                <w:color w:val="000000"/>
                <w:szCs w:val="20"/>
              </w:rPr>
            </w:pPr>
            <w:r>
              <w:rPr>
                <w:color w:val="000000"/>
                <w:szCs w:val="20"/>
              </w:rPr>
              <w:t xml:space="preserve">R18 </w:t>
            </w:r>
            <w:proofErr w:type="spellStart"/>
            <w:r>
              <w:rPr>
                <w:color w:val="000000"/>
                <w:szCs w:val="20"/>
              </w:rPr>
              <w:t>enh</w:t>
            </w:r>
            <w:proofErr w:type="spellEnd"/>
            <w:r>
              <w:rPr>
                <w:color w:val="000000"/>
                <w:szCs w:val="20"/>
              </w:rPr>
              <w:t>.</w:t>
            </w:r>
          </w:p>
        </w:tc>
        <w:tc>
          <w:tcPr>
            <w:tcW w:w="997" w:type="dxa"/>
            <w:tcBorders>
              <w:top w:val="single" w:sz="8" w:space="0" w:color="auto"/>
              <w:left w:val="single" w:sz="8" w:space="0" w:color="auto"/>
              <w:bottom w:val="single" w:sz="8" w:space="0" w:color="auto"/>
              <w:right w:val="single" w:sz="8" w:space="0" w:color="auto"/>
            </w:tcBorders>
            <w:noWrap/>
            <w:vAlign w:val="bottom"/>
            <w:hideMark/>
          </w:tcPr>
          <w:p w14:paraId="5EB72322" w14:textId="77777777" w:rsidR="00B6591A" w:rsidRDefault="00B6591A">
            <w:pPr>
              <w:spacing w:line="256" w:lineRule="auto"/>
              <w:rPr>
                <w:color w:val="000000"/>
                <w:szCs w:val="20"/>
              </w:rPr>
            </w:pPr>
            <w:r>
              <w:rPr>
                <w:color w:val="000000"/>
                <w:szCs w:val="20"/>
              </w:rPr>
              <w:t>Gain (%)</w:t>
            </w:r>
          </w:p>
        </w:tc>
      </w:tr>
      <w:tr w:rsidR="00B6591A" w14:paraId="663B66C7" w14:textId="77777777" w:rsidTr="00B6591A">
        <w:trPr>
          <w:trHeight w:val="663"/>
        </w:trPr>
        <w:tc>
          <w:tcPr>
            <w:tcW w:w="472" w:type="dxa"/>
            <w:tcBorders>
              <w:top w:val="single" w:sz="8" w:space="0" w:color="auto"/>
              <w:left w:val="single" w:sz="8" w:space="0" w:color="auto"/>
              <w:bottom w:val="single" w:sz="8" w:space="0" w:color="auto"/>
              <w:right w:val="single" w:sz="8" w:space="0" w:color="auto"/>
            </w:tcBorders>
            <w:noWrap/>
            <w:vAlign w:val="center"/>
            <w:hideMark/>
          </w:tcPr>
          <w:p w14:paraId="4D906728" w14:textId="77777777" w:rsidR="00B6591A" w:rsidRDefault="00B6591A">
            <w:pPr>
              <w:spacing w:line="256" w:lineRule="auto"/>
              <w:jc w:val="right"/>
              <w:rPr>
                <w:color w:val="000000"/>
                <w:sz w:val="16"/>
                <w:szCs w:val="16"/>
              </w:rPr>
            </w:pPr>
            <w:r>
              <w:rPr>
                <w:color w:val="000000"/>
                <w:sz w:val="16"/>
                <w:szCs w:val="16"/>
              </w:rPr>
              <w:t>4</w:t>
            </w:r>
          </w:p>
        </w:tc>
        <w:tc>
          <w:tcPr>
            <w:tcW w:w="1137" w:type="dxa"/>
            <w:tcBorders>
              <w:top w:val="single" w:sz="8" w:space="0" w:color="auto"/>
              <w:left w:val="single" w:sz="8" w:space="0" w:color="auto"/>
              <w:bottom w:val="single" w:sz="8" w:space="0" w:color="auto"/>
              <w:right w:val="single" w:sz="8" w:space="0" w:color="auto"/>
            </w:tcBorders>
            <w:noWrap/>
            <w:vAlign w:val="center"/>
            <w:hideMark/>
          </w:tcPr>
          <w:p w14:paraId="37D2501C" w14:textId="77777777" w:rsidR="00B6591A" w:rsidRDefault="00B6591A">
            <w:pPr>
              <w:spacing w:line="256" w:lineRule="auto"/>
              <w:rPr>
                <w:color w:val="000000"/>
                <w:sz w:val="16"/>
                <w:szCs w:val="16"/>
              </w:rPr>
            </w:pPr>
            <w:r>
              <w:rPr>
                <w:color w:val="000000"/>
                <w:sz w:val="16"/>
                <w:szCs w:val="16"/>
              </w:rPr>
              <w:t>#2- O2</w:t>
            </w:r>
          </w:p>
        </w:tc>
        <w:tc>
          <w:tcPr>
            <w:tcW w:w="4707" w:type="dxa"/>
            <w:tcBorders>
              <w:top w:val="single" w:sz="8" w:space="0" w:color="auto"/>
              <w:left w:val="single" w:sz="8" w:space="0" w:color="auto"/>
              <w:bottom w:val="single" w:sz="8" w:space="0" w:color="auto"/>
              <w:right w:val="single" w:sz="8" w:space="0" w:color="auto"/>
            </w:tcBorders>
            <w:vAlign w:val="center"/>
            <w:hideMark/>
          </w:tcPr>
          <w:p w14:paraId="1A580F33" w14:textId="77777777" w:rsidR="00B6591A" w:rsidRDefault="00B6591A">
            <w:pPr>
              <w:spacing w:line="256" w:lineRule="auto"/>
              <w:rPr>
                <w:color w:val="000000"/>
                <w:sz w:val="16"/>
                <w:szCs w:val="16"/>
              </w:rPr>
            </w:pPr>
            <w:r>
              <w:rPr>
                <w:color w:val="000000"/>
                <w:sz w:val="16"/>
                <w:szCs w:val="16"/>
              </w:rPr>
              <w:t>2sym CS/SS in s1+s2, legacy RE mapping, legacy Rx processing for PDCCH REs, PDCCH DMRS REs and legacy CE.</w:t>
            </w:r>
          </w:p>
          <w:p w14:paraId="3F4BE6E0" w14:textId="77777777" w:rsidR="00B6591A" w:rsidRDefault="00B6591A">
            <w:pPr>
              <w:spacing w:line="256" w:lineRule="auto"/>
              <w:rPr>
                <w:color w:val="000000"/>
                <w:sz w:val="16"/>
                <w:szCs w:val="16"/>
              </w:rPr>
            </w:pPr>
            <w:r>
              <w:rPr>
                <w:color w:val="000000"/>
                <w:sz w:val="16"/>
                <w:szCs w:val="16"/>
              </w:rPr>
              <w:t>More details in Observation 7, section 2.3.2</w:t>
            </w:r>
          </w:p>
        </w:tc>
        <w:tc>
          <w:tcPr>
            <w:tcW w:w="970" w:type="dxa"/>
            <w:tcBorders>
              <w:top w:val="single" w:sz="8" w:space="0" w:color="auto"/>
              <w:left w:val="single" w:sz="8" w:space="0" w:color="auto"/>
              <w:bottom w:val="single" w:sz="8" w:space="0" w:color="auto"/>
              <w:right w:val="single" w:sz="8" w:space="0" w:color="auto"/>
            </w:tcBorders>
            <w:noWrap/>
            <w:vAlign w:val="center"/>
            <w:hideMark/>
          </w:tcPr>
          <w:p w14:paraId="5DE506ED" w14:textId="77777777" w:rsidR="00B6591A" w:rsidRDefault="00B6591A">
            <w:pPr>
              <w:spacing w:line="256" w:lineRule="auto"/>
              <w:jc w:val="center"/>
              <w:rPr>
                <w:color w:val="000000"/>
                <w:sz w:val="16"/>
                <w:szCs w:val="16"/>
              </w:rPr>
            </w:pPr>
            <w:r>
              <w:rPr>
                <w:color w:val="000000"/>
                <w:sz w:val="16"/>
                <w:szCs w:val="16"/>
              </w:rPr>
              <w:t>2.9</w:t>
            </w:r>
          </w:p>
        </w:tc>
        <w:tc>
          <w:tcPr>
            <w:tcW w:w="994" w:type="dxa"/>
            <w:tcBorders>
              <w:top w:val="single" w:sz="8" w:space="0" w:color="auto"/>
              <w:left w:val="single" w:sz="8" w:space="0" w:color="auto"/>
              <w:bottom w:val="single" w:sz="8" w:space="0" w:color="auto"/>
              <w:right w:val="single" w:sz="8" w:space="0" w:color="auto"/>
            </w:tcBorders>
            <w:vAlign w:val="center"/>
            <w:hideMark/>
          </w:tcPr>
          <w:p w14:paraId="36478CFD" w14:textId="77777777" w:rsidR="00B6591A" w:rsidRDefault="00B6591A">
            <w:pPr>
              <w:spacing w:line="256" w:lineRule="auto"/>
              <w:jc w:val="center"/>
              <w:rPr>
                <w:color w:val="000000"/>
                <w:sz w:val="16"/>
                <w:szCs w:val="16"/>
              </w:rPr>
            </w:pPr>
            <w:r>
              <w:rPr>
                <w:rFonts w:ascii="Calibri" w:hAnsi="Calibri" w:cs="Calibri"/>
                <w:color w:val="000000"/>
                <w:sz w:val="18"/>
                <w:szCs w:val="18"/>
              </w:rPr>
              <w:t>3.5</w:t>
            </w:r>
          </w:p>
        </w:tc>
        <w:tc>
          <w:tcPr>
            <w:tcW w:w="997" w:type="dxa"/>
            <w:tcBorders>
              <w:top w:val="single" w:sz="8" w:space="0" w:color="auto"/>
              <w:left w:val="single" w:sz="8" w:space="0" w:color="auto"/>
              <w:bottom w:val="single" w:sz="8" w:space="0" w:color="auto"/>
              <w:right w:val="single" w:sz="8" w:space="0" w:color="auto"/>
            </w:tcBorders>
            <w:vAlign w:val="center"/>
            <w:hideMark/>
          </w:tcPr>
          <w:p w14:paraId="71F8860C" w14:textId="77777777" w:rsidR="00B6591A" w:rsidRDefault="00B6591A">
            <w:pPr>
              <w:spacing w:line="256" w:lineRule="auto"/>
              <w:jc w:val="center"/>
              <w:rPr>
                <w:color w:val="000000"/>
                <w:sz w:val="16"/>
                <w:szCs w:val="16"/>
              </w:rPr>
            </w:pPr>
            <w:r>
              <w:rPr>
                <w:rFonts w:ascii="Calibri" w:hAnsi="Calibri" w:cs="Calibri"/>
                <w:color w:val="000000"/>
                <w:sz w:val="18"/>
                <w:szCs w:val="18"/>
              </w:rPr>
              <w:t>19</w:t>
            </w:r>
          </w:p>
        </w:tc>
      </w:tr>
      <w:tr w:rsidR="00B6591A" w14:paraId="2034CB07" w14:textId="77777777" w:rsidTr="00B6591A">
        <w:trPr>
          <w:trHeight w:val="663"/>
        </w:trPr>
        <w:tc>
          <w:tcPr>
            <w:tcW w:w="472" w:type="dxa"/>
            <w:tcBorders>
              <w:top w:val="single" w:sz="8" w:space="0" w:color="auto"/>
              <w:left w:val="single" w:sz="8" w:space="0" w:color="auto"/>
              <w:bottom w:val="single" w:sz="8" w:space="0" w:color="auto"/>
              <w:right w:val="single" w:sz="8" w:space="0" w:color="auto"/>
            </w:tcBorders>
            <w:noWrap/>
            <w:vAlign w:val="center"/>
            <w:hideMark/>
          </w:tcPr>
          <w:p w14:paraId="0FE2DA34" w14:textId="77777777" w:rsidR="00B6591A" w:rsidRDefault="00B6591A">
            <w:pPr>
              <w:spacing w:line="256" w:lineRule="auto"/>
              <w:jc w:val="right"/>
              <w:rPr>
                <w:color w:val="000000"/>
                <w:sz w:val="16"/>
                <w:szCs w:val="16"/>
              </w:rPr>
            </w:pPr>
            <w:r>
              <w:rPr>
                <w:color w:val="000000"/>
                <w:sz w:val="16"/>
                <w:szCs w:val="16"/>
              </w:rPr>
              <w:t>5</w:t>
            </w:r>
          </w:p>
        </w:tc>
        <w:tc>
          <w:tcPr>
            <w:tcW w:w="1137" w:type="dxa"/>
            <w:tcBorders>
              <w:top w:val="single" w:sz="8" w:space="0" w:color="auto"/>
              <w:left w:val="single" w:sz="8" w:space="0" w:color="auto"/>
              <w:bottom w:val="single" w:sz="8" w:space="0" w:color="auto"/>
              <w:right w:val="single" w:sz="8" w:space="0" w:color="auto"/>
            </w:tcBorders>
            <w:noWrap/>
            <w:vAlign w:val="center"/>
            <w:hideMark/>
          </w:tcPr>
          <w:p w14:paraId="0CD9C4AD" w14:textId="77777777" w:rsidR="00B6591A" w:rsidRDefault="00B6591A">
            <w:pPr>
              <w:spacing w:line="256" w:lineRule="auto"/>
              <w:rPr>
                <w:color w:val="000000"/>
                <w:sz w:val="16"/>
                <w:szCs w:val="16"/>
              </w:rPr>
            </w:pPr>
            <w:r>
              <w:rPr>
                <w:color w:val="000000"/>
                <w:sz w:val="16"/>
                <w:szCs w:val="16"/>
              </w:rPr>
              <w:t>#2- O1-1a</w:t>
            </w:r>
          </w:p>
        </w:tc>
        <w:tc>
          <w:tcPr>
            <w:tcW w:w="4707" w:type="dxa"/>
            <w:tcBorders>
              <w:top w:val="single" w:sz="8" w:space="0" w:color="auto"/>
              <w:left w:val="single" w:sz="8" w:space="0" w:color="auto"/>
              <w:bottom w:val="single" w:sz="8" w:space="0" w:color="auto"/>
              <w:right w:val="single" w:sz="8" w:space="0" w:color="auto"/>
            </w:tcBorders>
            <w:vAlign w:val="center"/>
            <w:hideMark/>
          </w:tcPr>
          <w:p w14:paraId="195AD4C7" w14:textId="77777777" w:rsidR="00B6591A" w:rsidRDefault="00B6591A">
            <w:pPr>
              <w:spacing w:line="256" w:lineRule="auto"/>
              <w:rPr>
                <w:color w:val="000000"/>
                <w:sz w:val="16"/>
                <w:szCs w:val="16"/>
              </w:rPr>
            </w:pPr>
            <w:r>
              <w:rPr>
                <w:color w:val="000000"/>
                <w:sz w:val="16"/>
                <w:szCs w:val="16"/>
              </w:rPr>
              <w:t>2sym CS/SS in s1+s2, legacy RE mapping, legacy Rx processing for PDCCH DMRS REs and legacy CE, PDCCH REs overlapping with CRS punctured/nulled by Rx.</w:t>
            </w:r>
          </w:p>
          <w:p w14:paraId="4CA1850C" w14:textId="77777777" w:rsidR="00B6591A" w:rsidRDefault="00B6591A">
            <w:pPr>
              <w:spacing w:line="256" w:lineRule="auto"/>
              <w:rPr>
                <w:color w:val="000000"/>
                <w:sz w:val="16"/>
                <w:szCs w:val="16"/>
              </w:rPr>
            </w:pPr>
            <w:r>
              <w:rPr>
                <w:color w:val="000000"/>
                <w:sz w:val="16"/>
                <w:szCs w:val="16"/>
              </w:rPr>
              <w:t>More details in Observation 7, section 2.3.2</w:t>
            </w:r>
          </w:p>
        </w:tc>
        <w:tc>
          <w:tcPr>
            <w:tcW w:w="970" w:type="dxa"/>
            <w:tcBorders>
              <w:top w:val="single" w:sz="8" w:space="0" w:color="auto"/>
              <w:left w:val="single" w:sz="8" w:space="0" w:color="auto"/>
              <w:bottom w:val="single" w:sz="8" w:space="0" w:color="auto"/>
              <w:right w:val="single" w:sz="8" w:space="0" w:color="auto"/>
            </w:tcBorders>
            <w:noWrap/>
            <w:vAlign w:val="center"/>
            <w:hideMark/>
          </w:tcPr>
          <w:p w14:paraId="6B7A0462" w14:textId="77777777" w:rsidR="00B6591A" w:rsidRDefault="00B6591A">
            <w:pPr>
              <w:spacing w:line="256" w:lineRule="auto"/>
              <w:jc w:val="center"/>
              <w:rPr>
                <w:color w:val="000000"/>
                <w:sz w:val="16"/>
                <w:szCs w:val="16"/>
              </w:rPr>
            </w:pPr>
            <w:r>
              <w:rPr>
                <w:color w:val="000000"/>
                <w:sz w:val="16"/>
                <w:szCs w:val="16"/>
              </w:rPr>
              <w:t>2.9</w:t>
            </w:r>
          </w:p>
        </w:tc>
        <w:tc>
          <w:tcPr>
            <w:tcW w:w="994" w:type="dxa"/>
            <w:tcBorders>
              <w:top w:val="single" w:sz="8" w:space="0" w:color="auto"/>
              <w:left w:val="single" w:sz="8" w:space="0" w:color="auto"/>
              <w:bottom w:val="single" w:sz="8" w:space="0" w:color="auto"/>
              <w:right w:val="single" w:sz="8" w:space="0" w:color="auto"/>
            </w:tcBorders>
            <w:vAlign w:val="center"/>
            <w:hideMark/>
          </w:tcPr>
          <w:p w14:paraId="43071A70" w14:textId="77777777" w:rsidR="00B6591A" w:rsidRDefault="00B6591A">
            <w:pPr>
              <w:spacing w:line="256" w:lineRule="auto"/>
              <w:jc w:val="center"/>
              <w:rPr>
                <w:color w:val="000000"/>
                <w:sz w:val="16"/>
                <w:szCs w:val="16"/>
              </w:rPr>
            </w:pPr>
            <w:r>
              <w:rPr>
                <w:rFonts w:ascii="Calibri" w:hAnsi="Calibri" w:cs="Calibri"/>
                <w:color w:val="000000"/>
                <w:sz w:val="18"/>
                <w:szCs w:val="18"/>
              </w:rPr>
              <w:t>3.8</w:t>
            </w:r>
          </w:p>
        </w:tc>
        <w:tc>
          <w:tcPr>
            <w:tcW w:w="997" w:type="dxa"/>
            <w:tcBorders>
              <w:top w:val="single" w:sz="8" w:space="0" w:color="auto"/>
              <w:left w:val="single" w:sz="8" w:space="0" w:color="auto"/>
              <w:bottom w:val="single" w:sz="8" w:space="0" w:color="auto"/>
              <w:right w:val="single" w:sz="8" w:space="0" w:color="auto"/>
            </w:tcBorders>
            <w:vAlign w:val="center"/>
            <w:hideMark/>
          </w:tcPr>
          <w:p w14:paraId="028E17D4" w14:textId="77777777" w:rsidR="00B6591A" w:rsidRDefault="00B6591A">
            <w:pPr>
              <w:spacing w:line="256" w:lineRule="auto"/>
              <w:jc w:val="center"/>
              <w:rPr>
                <w:color w:val="000000"/>
                <w:sz w:val="16"/>
                <w:szCs w:val="16"/>
              </w:rPr>
            </w:pPr>
            <w:r>
              <w:rPr>
                <w:rFonts w:ascii="Calibri" w:hAnsi="Calibri" w:cs="Calibri"/>
                <w:color w:val="000000"/>
                <w:sz w:val="18"/>
                <w:szCs w:val="18"/>
              </w:rPr>
              <w:t>33</w:t>
            </w:r>
          </w:p>
        </w:tc>
      </w:tr>
      <w:tr w:rsidR="00B6591A" w14:paraId="636516EE" w14:textId="77777777" w:rsidTr="00B6591A">
        <w:trPr>
          <w:trHeight w:val="663"/>
        </w:trPr>
        <w:tc>
          <w:tcPr>
            <w:tcW w:w="472" w:type="dxa"/>
            <w:tcBorders>
              <w:top w:val="single" w:sz="8" w:space="0" w:color="auto"/>
              <w:left w:val="single" w:sz="8" w:space="0" w:color="auto"/>
              <w:bottom w:val="single" w:sz="8" w:space="0" w:color="auto"/>
              <w:right w:val="single" w:sz="8" w:space="0" w:color="auto"/>
            </w:tcBorders>
            <w:noWrap/>
            <w:vAlign w:val="center"/>
            <w:hideMark/>
          </w:tcPr>
          <w:p w14:paraId="245D8910" w14:textId="77777777" w:rsidR="00B6591A" w:rsidRDefault="00B6591A">
            <w:pPr>
              <w:spacing w:line="256" w:lineRule="auto"/>
              <w:jc w:val="right"/>
              <w:rPr>
                <w:color w:val="000000"/>
                <w:sz w:val="16"/>
                <w:szCs w:val="16"/>
              </w:rPr>
            </w:pPr>
            <w:r>
              <w:rPr>
                <w:color w:val="000000"/>
                <w:sz w:val="16"/>
                <w:szCs w:val="16"/>
              </w:rPr>
              <w:t>6</w:t>
            </w:r>
          </w:p>
        </w:tc>
        <w:tc>
          <w:tcPr>
            <w:tcW w:w="1137" w:type="dxa"/>
            <w:tcBorders>
              <w:top w:val="single" w:sz="8" w:space="0" w:color="auto"/>
              <w:left w:val="single" w:sz="8" w:space="0" w:color="auto"/>
              <w:bottom w:val="single" w:sz="8" w:space="0" w:color="auto"/>
              <w:right w:val="single" w:sz="8" w:space="0" w:color="auto"/>
            </w:tcBorders>
            <w:noWrap/>
            <w:vAlign w:val="center"/>
            <w:hideMark/>
          </w:tcPr>
          <w:p w14:paraId="335FFA2A" w14:textId="77777777" w:rsidR="00B6591A" w:rsidRDefault="00B6591A">
            <w:pPr>
              <w:spacing w:line="256" w:lineRule="auto"/>
              <w:rPr>
                <w:color w:val="000000"/>
                <w:sz w:val="16"/>
                <w:szCs w:val="16"/>
              </w:rPr>
            </w:pPr>
            <w:r>
              <w:rPr>
                <w:color w:val="000000"/>
                <w:sz w:val="16"/>
                <w:szCs w:val="16"/>
              </w:rPr>
              <w:t>#2- O1-1b</w:t>
            </w:r>
          </w:p>
        </w:tc>
        <w:tc>
          <w:tcPr>
            <w:tcW w:w="4707" w:type="dxa"/>
            <w:tcBorders>
              <w:top w:val="single" w:sz="8" w:space="0" w:color="auto"/>
              <w:left w:val="single" w:sz="8" w:space="0" w:color="auto"/>
              <w:bottom w:val="single" w:sz="8" w:space="0" w:color="auto"/>
              <w:right w:val="single" w:sz="8" w:space="0" w:color="auto"/>
            </w:tcBorders>
            <w:vAlign w:val="center"/>
            <w:hideMark/>
          </w:tcPr>
          <w:p w14:paraId="040CDE73" w14:textId="77777777" w:rsidR="00B6591A" w:rsidRDefault="00B6591A">
            <w:pPr>
              <w:spacing w:line="256" w:lineRule="auto"/>
              <w:rPr>
                <w:color w:val="000000"/>
                <w:sz w:val="16"/>
                <w:szCs w:val="16"/>
              </w:rPr>
            </w:pPr>
            <w:r>
              <w:rPr>
                <w:color w:val="000000"/>
                <w:sz w:val="16"/>
                <w:szCs w:val="16"/>
              </w:rPr>
              <w:t>2sym CS/SS in s1+s2, legacy RE mapping, Rx only uses for PDCCH DMRS REs in s2 and legacy CE, PDCCH REs overlapping with CRS punctured/nulled by Rx.</w:t>
            </w:r>
          </w:p>
          <w:p w14:paraId="7CBE964C" w14:textId="77777777" w:rsidR="00B6591A" w:rsidRDefault="00B6591A">
            <w:pPr>
              <w:spacing w:line="256" w:lineRule="auto"/>
              <w:rPr>
                <w:color w:val="000000"/>
                <w:sz w:val="16"/>
                <w:szCs w:val="16"/>
              </w:rPr>
            </w:pPr>
            <w:r>
              <w:rPr>
                <w:color w:val="000000"/>
                <w:sz w:val="16"/>
                <w:szCs w:val="16"/>
              </w:rPr>
              <w:t>More details in Observation 7, section 2.3.2</w:t>
            </w:r>
          </w:p>
        </w:tc>
        <w:tc>
          <w:tcPr>
            <w:tcW w:w="970" w:type="dxa"/>
            <w:tcBorders>
              <w:top w:val="single" w:sz="8" w:space="0" w:color="auto"/>
              <w:left w:val="single" w:sz="8" w:space="0" w:color="auto"/>
              <w:bottom w:val="single" w:sz="8" w:space="0" w:color="auto"/>
              <w:right w:val="single" w:sz="8" w:space="0" w:color="auto"/>
            </w:tcBorders>
            <w:noWrap/>
            <w:vAlign w:val="center"/>
            <w:hideMark/>
          </w:tcPr>
          <w:p w14:paraId="3698EE7A" w14:textId="77777777" w:rsidR="00B6591A" w:rsidRDefault="00B6591A">
            <w:pPr>
              <w:spacing w:line="256" w:lineRule="auto"/>
              <w:jc w:val="center"/>
              <w:rPr>
                <w:color w:val="000000"/>
                <w:sz w:val="16"/>
                <w:szCs w:val="16"/>
              </w:rPr>
            </w:pPr>
            <w:r>
              <w:rPr>
                <w:color w:val="000000"/>
                <w:sz w:val="16"/>
                <w:szCs w:val="16"/>
              </w:rPr>
              <w:t>2.9</w:t>
            </w:r>
          </w:p>
        </w:tc>
        <w:tc>
          <w:tcPr>
            <w:tcW w:w="994" w:type="dxa"/>
            <w:tcBorders>
              <w:top w:val="single" w:sz="8" w:space="0" w:color="auto"/>
              <w:left w:val="single" w:sz="8" w:space="0" w:color="auto"/>
              <w:bottom w:val="single" w:sz="8" w:space="0" w:color="auto"/>
              <w:right w:val="single" w:sz="8" w:space="0" w:color="auto"/>
            </w:tcBorders>
            <w:vAlign w:val="center"/>
            <w:hideMark/>
          </w:tcPr>
          <w:p w14:paraId="24018461" w14:textId="77777777" w:rsidR="00B6591A" w:rsidRDefault="00B6591A">
            <w:pPr>
              <w:spacing w:line="256" w:lineRule="auto"/>
              <w:jc w:val="center"/>
              <w:rPr>
                <w:color w:val="000000"/>
                <w:sz w:val="16"/>
                <w:szCs w:val="16"/>
              </w:rPr>
            </w:pPr>
            <w:r>
              <w:rPr>
                <w:rFonts w:ascii="Calibri" w:hAnsi="Calibri" w:cs="Calibri"/>
                <w:color w:val="000000"/>
                <w:sz w:val="18"/>
                <w:szCs w:val="18"/>
              </w:rPr>
              <w:t>3.5</w:t>
            </w:r>
          </w:p>
        </w:tc>
        <w:tc>
          <w:tcPr>
            <w:tcW w:w="997" w:type="dxa"/>
            <w:tcBorders>
              <w:top w:val="single" w:sz="8" w:space="0" w:color="auto"/>
              <w:left w:val="single" w:sz="8" w:space="0" w:color="auto"/>
              <w:bottom w:val="single" w:sz="8" w:space="0" w:color="auto"/>
              <w:right w:val="single" w:sz="8" w:space="0" w:color="auto"/>
            </w:tcBorders>
            <w:vAlign w:val="center"/>
            <w:hideMark/>
          </w:tcPr>
          <w:p w14:paraId="694050B5" w14:textId="77777777" w:rsidR="00B6591A" w:rsidRDefault="00B6591A">
            <w:pPr>
              <w:spacing w:line="256" w:lineRule="auto"/>
              <w:jc w:val="center"/>
              <w:rPr>
                <w:color w:val="000000"/>
                <w:sz w:val="16"/>
                <w:szCs w:val="16"/>
              </w:rPr>
            </w:pPr>
            <w:r>
              <w:rPr>
                <w:rFonts w:ascii="Calibri" w:hAnsi="Calibri" w:cs="Calibri"/>
                <w:color w:val="000000"/>
                <w:sz w:val="18"/>
                <w:szCs w:val="18"/>
              </w:rPr>
              <w:t>19</w:t>
            </w:r>
          </w:p>
        </w:tc>
      </w:tr>
      <w:tr w:rsidR="00B6591A" w:rsidRPr="00B6591A" w14:paraId="5F1DD508" w14:textId="77777777" w:rsidTr="00B6591A">
        <w:trPr>
          <w:trHeight w:val="663"/>
        </w:trPr>
        <w:tc>
          <w:tcPr>
            <w:tcW w:w="472" w:type="dxa"/>
            <w:tcBorders>
              <w:top w:val="single" w:sz="8" w:space="0" w:color="auto"/>
              <w:left w:val="single" w:sz="8" w:space="0" w:color="auto"/>
              <w:bottom w:val="single" w:sz="8" w:space="0" w:color="auto"/>
              <w:right w:val="single" w:sz="8" w:space="0" w:color="auto"/>
            </w:tcBorders>
            <w:noWrap/>
            <w:vAlign w:val="center"/>
            <w:hideMark/>
          </w:tcPr>
          <w:p w14:paraId="382D86DF" w14:textId="77777777" w:rsidR="00B6591A" w:rsidRPr="00B6591A" w:rsidRDefault="00B6591A">
            <w:pPr>
              <w:spacing w:line="256" w:lineRule="auto"/>
              <w:jc w:val="right"/>
              <w:rPr>
                <w:color w:val="D9D9D9" w:themeColor="background1" w:themeShade="D9"/>
                <w:sz w:val="16"/>
                <w:szCs w:val="16"/>
              </w:rPr>
            </w:pPr>
            <w:r w:rsidRPr="00B6591A">
              <w:rPr>
                <w:color w:val="D9D9D9" w:themeColor="background1" w:themeShade="D9"/>
                <w:sz w:val="16"/>
                <w:szCs w:val="16"/>
              </w:rPr>
              <w:t>7</w:t>
            </w:r>
          </w:p>
        </w:tc>
        <w:tc>
          <w:tcPr>
            <w:tcW w:w="1137" w:type="dxa"/>
            <w:tcBorders>
              <w:top w:val="single" w:sz="8" w:space="0" w:color="auto"/>
              <w:left w:val="single" w:sz="8" w:space="0" w:color="auto"/>
              <w:bottom w:val="single" w:sz="8" w:space="0" w:color="auto"/>
              <w:right w:val="single" w:sz="8" w:space="0" w:color="auto"/>
            </w:tcBorders>
            <w:noWrap/>
            <w:vAlign w:val="center"/>
            <w:hideMark/>
          </w:tcPr>
          <w:p w14:paraId="459BEDC1" w14:textId="77777777" w:rsidR="00B6591A" w:rsidRPr="00B6591A" w:rsidRDefault="00B6591A">
            <w:pPr>
              <w:spacing w:line="256" w:lineRule="auto"/>
              <w:rPr>
                <w:color w:val="D9D9D9" w:themeColor="background1" w:themeShade="D9"/>
                <w:sz w:val="16"/>
                <w:szCs w:val="16"/>
              </w:rPr>
            </w:pPr>
            <w:r w:rsidRPr="00B6591A">
              <w:rPr>
                <w:color w:val="D9D9D9" w:themeColor="background1" w:themeShade="D9"/>
                <w:sz w:val="16"/>
                <w:szCs w:val="16"/>
              </w:rPr>
              <w:t>#2- O1-2</w:t>
            </w:r>
          </w:p>
        </w:tc>
        <w:tc>
          <w:tcPr>
            <w:tcW w:w="4707" w:type="dxa"/>
            <w:tcBorders>
              <w:top w:val="single" w:sz="8" w:space="0" w:color="auto"/>
              <w:left w:val="single" w:sz="8" w:space="0" w:color="auto"/>
              <w:bottom w:val="single" w:sz="8" w:space="0" w:color="auto"/>
              <w:right w:val="single" w:sz="8" w:space="0" w:color="auto"/>
            </w:tcBorders>
            <w:vAlign w:val="center"/>
            <w:hideMark/>
          </w:tcPr>
          <w:p w14:paraId="09FCEFAA" w14:textId="77777777" w:rsidR="00B6591A" w:rsidRPr="00B6591A" w:rsidRDefault="00B6591A">
            <w:pPr>
              <w:spacing w:line="256" w:lineRule="auto"/>
              <w:rPr>
                <w:color w:val="D9D9D9" w:themeColor="background1" w:themeShade="D9"/>
                <w:sz w:val="16"/>
                <w:szCs w:val="16"/>
              </w:rPr>
            </w:pPr>
            <w:r w:rsidRPr="00B6591A">
              <w:rPr>
                <w:color w:val="D9D9D9" w:themeColor="background1" w:themeShade="D9"/>
                <w:sz w:val="16"/>
                <w:szCs w:val="16"/>
              </w:rPr>
              <w:t>2sym CS/SS in s1+s2, new PDCCH/PDCCH DMRS RE mapping (no PDCCH DMRS on the symbol with LTE CRS), Rx only uses for PDCCH DMRS REs in s2 and legacy CE, Rx assumes PDCCH REs punctured/nulled.</w:t>
            </w:r>
          </w:p>
          <w:p w14:paraId="47830B79" w14:textId="77777777" w:rsidR="00B6591A" w:rsidRPr="00B6591A" w:rsidRDefault="00B6591A">
            <w:pPr>
              <w:spacing w:line="256" w:lineRule="auto"/>
              <w:rPr>
                <w:color w:val="D9D9D9" w:themeColor="background1" w:themeShade="D9"/>
                <w:sz w:val="16"/>
                <w:szCs w:val="16"/>
              </w:rPr>
            </w:pPr>
            <w:r w:rsidRPr="00B6591A">
              <w:rPr>
                <w:color w:val="D9D9D9" w:themeColor="background1" w:themeShade="D9"/>
                <w:sz w:val="16"/>
                <w:szCs w:val="16"/>
              </w:rPr>
              <w:t>More details in Observation 7, section 2.3.2</w:t>
            </w:r>
          </w:p>
        </w:tc>
        <w:tc>
          <w:tcPr>
            <w:tcW w:w="970" w:type="dxa"/>
            <w:tcBorders>
              <w:top w:val="single" w:sz="8" w:space="0" w:color="auto"/>
              <w:left w:val="single" w:sz="8" w:space="0" w:color="auto"/>
              <w:bottom w:val="single" w:sz="8" w:space="0" w:color="auto"/>
              <w:right w:val="single" w:sz="8" w:space="0" w:color="auto"/>
            </w:tcBorders>
            <w:noWrap/>
            <w:vAlign w:val="center"/>
            <w:hideMark/>
          </w:tcPr>
          <w:p w14:paraId="095BFC13" w14:textId="77777777" w:rsidR="00B6591A" w:rsidRPr="00B6591A" w:rsidRDefault="00B6591A">
            <w:pPr>
              <w:spacing w:line="256" w:lineRule="auto"/>
              <w:jc w:val="center"/>
              <w:rPr>
                <w:color w:val="D9D9D9" w:themeColor="background1" w:themeShade="D9"/>
                <w:sz w:val="16"/>
                <w:szCs w:val="16"/>
              </w:rPr>
            </w:pPr>
            <w:r w:rsidRPr="00B6591A">
              <w:rPr>
                <w:color w:val="D9D9D9" w:themeColor="background1" w:themeShade="D9"/>
                <w:sz w:val="16"/>
                <w:szCs w:val="16"/>
              </w:rPr>
              <w:t>2.9</w:t>
            </w:r>
          </w:p>
        </w:tc>
        <w:tc>
          <w:tcPr>
            <w:tcW w:w="994" w:type="dxa"/>
            <w:tcBorders>
              <w:top w:val="single" w:sz="8" w:space="0" w:color="auto"/>
              <w:left w:val="single" w:sz="8" w:space="0" w:color="auto"/>
              <w:bottom w:val="single" w:sz="8" w:space="0" w:color="auto"/>
              <w:right w:val="single" w:sz="8" w:space="0" w:color="auto"/>
            </w:tcBorders>
            <w:vAlign w:val="center"/>
            <w:hideMark/>
          </w:tcPr>
          <w:p w14:paraId="28E21396" w14:textId="77777777" w:rsidR="00B6591A" w:rsidRPr="00B6591A" w:rsidRDefault="00B6591A">
            <w:pPr>
              <w:spacing w:line="256" w:lineRule="auto"/>
              <w:jc w:val="center"/>
              <w:rPr>
                <w:color w:val="D9D9D9" w:themeColor="background1" w:themeShade="D9"/>
                <w:sz w:val="16"/>
                <w:szCs w:val="16"/>
              </w:rPr>
            </w:pPr>
            <w:r w:rsidRPr="00B6591A">
              <w:rPr>
                <w:rFonts w:ascii="Calibri" w:hAnsi="Calibri" w:cs="Calibri"/>
                <w:color w:val="D9D9D9" w:themeColor="background1" w:themeShade="D9"/>
                <w:sz w:val="18"/>
                <w:szCs w:val="18"/>
              </w:rPr>
              <w:t>3.6</w:t>
            </w:r>
          </w:p>
        </w:tc>
        <w:tc>
          <w:tcPr>
            <w:tcW w:w="997" w:type="dxa"/>
            <w:tcBorders>
              <w:top w:val="single" w:sz="8" w:space="0" w:color="auto"/>
              <w:left w:val="single" w:sz="8" w:space="0" w:color="auto"/>
              <w:bottom w:val="single" w:sz="8" w:space="0" w:color="auto"/>
              <w:right w:val="single" w:sz="8" w:space="0" w:color="auto"/>
            </w:tcBorders>
            <w:vAlign w:val="center"/>
            <w:hideMark/>
          </w:tcPr>
          <w:p w14:paraId="04161B31" w14:textId="77777777" w:rsidR="00B6591A" w:rsidRPr="00B6591A" w:rsidRDefault="00B6591A">
            <w:pPr>
              <w:spacing w:line="256" w:lineRule="auto"/>
              <w:jc w:val="center"/>
              <w:rPr>
                <w:color w:val="D9D9D9" w:themeColor="background1" w:themeShade="D9"/>
                <w:sz w:val="16"/>
                <w:szCs w:val="16"/>
              </w:rPr>
            </w:pPr>
            <w:r w:rsidRPr="00B6591A">
              <w:rPr>
                <w:rFonts w:ascii="Calibri" w:hAnsi="Calibri" w:cs="Calibri"/>
                <w:color w:val="D9D9D9" w:themeColor="background1" w:themeShade="D9"/>
                <w:sz w:val="18"/>
                <w:szCs w:val="18"/>
              </w:rPr>
              <w:t>25</w:t>
            </w:r>
          </w:p>
        </w:tc>
      </w:tr>
      <w:tr w:rsidR="00B6591A" w:rsidRPr="00B6591A" w14:paraId="4247FD19" w14:textId="77777777" w:rsidTr="00B6591A">
        <w:trPr>
          <w:trHeight w:val="663"/>
        </w:trPr>
        <w:tc>
          <w:tcPr>
            <w:tcW w:w="472" w:type="dxa"/>
            <w:tcBorders>
              <w:top w:val="single" w:sz="8" w:space="0" w:color="auto"/>
              <w:left w:val="single" w:sz="8" w:space="0" w:color="auto"/>
              <w:bottom w:val="single" w:sz="8" w:space="0" w:color="auto"/>
              <w:right w:val="single" w:sz="8" w:space="0" w:color="auto"/>
            </w:tcBorders>
            <w:noWrap/>
            <w:vAlign w:val="center"/>
            <w:hideMark/>
          </w:tcPr>
          <w:p w14:paraId="16827085" w14:textId="77777777" w:rsidR="00B6591A" w:rsidRPr="00B6591A" w:rsidRDefault="00B6591A">
            <w:pPr>
              <w:spacing w:line="256" w:lineRule="auto"/>
              <w:jc w:val="right"/>
              <w:rPr>
                <w:color w:val="D9D9D9" w:themeColor="background1" w:themeShade="D9"/>
                <w:sz w:val="16"/>
                <w:szCs w:val="16"/>
              </w:rPr>
            </w:pPr>
            <w:r w:rsidRPr="00B6591A">
              <w:rPr>
                <w:color w:val="D9D9D9" w:themeColor="background1" w:themeShade="D9"/>
                <w:sz w:val="16"/>
                <w:szCs w:val="16"/>
              </w:rPr>
              <w:t>8</w:t>
            </w:r>
          </w:p>
        </w:tc>
        <w:tc>
          <w:tcPr>
            <w:tcW w:w="1137" w:type="dxa"/>
            <w:tcBorders>
              <w:top w:val="single" w:sz="8" w:space="0" w:color="auto"/>
              <w:left w:val="single" w:sz="8" w:space="0" w:color="auto"/>
              <w:bottom w:val="single" w:sz="8" w:space="0" w:color="auto"/>
              <w:right w:val="single" w:sz="8" w:space="0" w:color="auto"/>
            </w:tcBorders>
            <w:noWrap/>
            <w:vAlign w:val="center"/>
            <w:hideMark/>
          </w:tcPr>
          <w:p w14:paraId="25236547" w14:textId="77777777" w:rsidR="00B6591A" w:rsidRPr="00B6591A" w:rsidRDefault="00B6591A">
            <w:pPr>
              <w:spacing w:line="256" w:lineRule="auto"/>
              <w:rPr>
                <w:color w:val="D9D9D9" w:themeColor="background1" w:themeShade="D9"/>
                <w:sz w:val="16"/>
                <w:szCs w:val="16"/>
              </w:rPr>
            </w:pPr>
            <w:r w:rsidRPr="00B6591A">
              <w:rPr>
                <w:color w:val="D9D9D9" w:themeColor="background1" w:themeShade="D9"/>
                <w:sz w:val="16"/>
                <w:szCs w:val="16"/>
              </w:rPr>
              <w:t>#2- O2b</w:t>
            </w:r>
          </w:p>
        </w:tc>
        <w:tc>
          <w:tcPr>
            <w:tcW w:w="4707" w:type="dxa"/>
            <w:tcBorders>
              <w:top w:val="single" w:sz="8" w:space="0" w:color="auto"/>
              <w:left w:val="single" w:sz="8" w:space="0" w:color="auto"/>
              <w:bottom w:val="single" w:sz="8" w:space="0" w:color="auto"/>
              <w:right w:val="single" w:sz="8" w:space="0" w:color="auto"/>
            </w:tcBorders>
            <w:vAlign w:val="center"/>
            <w:hideMark/>
          </w:tcPr>
          <w:p w14:paraId="59F108CB" w14:textId="77777777" w:rsidR="00B6591A" w:rsidRPr="00B6591A" w:rsidRDefault="00B6591A">
            <w:pPr>
              <w:spacing w:line="256" w:lineRule="auto"/>
              <w:rPr>
                <w:color w:val="D9D9D9" w:themeColor="background1" w:themeShade="D9"/>
                <w:sz w:val="16"/>
                <w:szCs w:val="16"/>
              </w:rPr>
            </w:pPr>
            <w:r w:rsidRPr="00B6591A">
              <w:rPr>
                <w:color w:val="D9D9D9" w:themeColor="background1" w:themeShade="D9"/>
                <w:sz w:val="16"/>
                <w:szCs w:val="16"/>
              </w:rPr>
              <w:t>2sym CS/SS in s1+s2, legacy RE mapping, Rx assumes PDCCH REs and PDCCH DMRS REs are punctured/nulled.</w:t>
            </w:r>
          </w:p>
          <w:p w14:paraId="0EEB2FD6" w14:textId="77777777" w:rsidR="00B6591A" w:rsidRPr="00B6591A" w:rsidRDefault="00B6591A">
            <w:pPr>
              <w:spacing w:line="256" w:lineRule="auto"/>
              <w:rPr>
                <w:color w:val="D9D9D9" w:themeColor="background1" w:themeShade="D9"/>
                <w:sz w:val="16"/>
                <w:szCs w:val="16"/>
              </w:rPr>
            </w:pPr>
            <w:r w:rsidRPr="00B6591A">
              <w:rPr>
                <w:color w:val="D9D9D9" w:themeColor="background1" w:themeShade="D9"/>
                <w:sz w:val="16"/>
                <w:szCs w:val="16"/>
              </w:rPr>
              <w:t>More details in Observation 7, section 2.3.2</w:t>
            </w:r>
          </w:p>
        </w:tc>
        <w:tc>
          <w:tcPr>
            <w:tcW w:w="970" w:type="dxa"/>
            <w:tcBorders>
              <w:top w:val="single" w:sz="8" w:space="0" w:color="auto"/>
              <w:left w:val="single" w:sz="8" w:space="0" w:color="auto"/>
              <w:bottom w:val="single" w:sz="8" w:space="0" w:color="auto"/>
              <w:right w:val="single" w:sz="8" w:space="0" w:color="auto"/>
            </w:tcBorders>
            <w:noWrap/>
            <w:vAlign w:val="center"/>
            <w:hideMark/>
          </w:tcPr>
          <w:p w14:paraId="6F96E148" w14:textId="77777777" w:rsidR="00B6591A" w:rsidRPr="00B6591A" w:rsidRDefault="00B6591A">
            <w:pPr>
              <w:spacing w:line="256" w:lineRule="auto"/>
              <w:jc w:val="center"/>
              <w:rPr>
                <w:color w:val="D9D9D9" w:themeColor="background1" w:themeShade="D9"/>
                <w:sz w:val="16"/>
                <w:szCs w:val="16"/>
              </w:rPr>
            </w:pPr>
            <w:r w:rsidRPr="00B6591A">
              <w:rPr>
                <w:color w:val="D9D9D9" w:themeColor="background1" w:themeShade="D9"/>
                <w:sz w:val="16"/>
                <w:szCs w:val="16"/>
              </w:rPr>
              <w:t>2.9</w:t>
            </w:r>
          </w:p>
        </w:tc>
        <w:tc>
          <w:tcPr>
            <w:tcW w:w="994" w:type="dxa"/>
            <w:tcBorders>
              <w:top w:val="single" w:sz="8" w:space="0" w:color="auto"/>
              <w:left w:val="single" w:sz="8" w:space="0" w:color="auto"/>
              <w:bottom w:val="single" w:sz="8" w:space="0" w:color="auto"/>
              <w:right w:val="single" w:sz="8" w:space="0" w:color="auto"/>
            </w:tcBorders>
            <w:vAlign w:val="center"/>
            <w:hideMark/>
          </w:tcPr>
          <w:p w14:paraId="0A4D7E5F" w14:textId="77777777" w:rsidR="00B6591A" w:rsidRPr="00B6591A" w:rsidRDefault="00B6591A">
            <w:pPr>
              <w:spacing w:line="256" w:lineRule="auto"/>
              <w:jc w:val="center"/>
              <w:rPr>
                <w:color w:val="D9D9D9" w:themeColor="background1" w:themeShade="D9"/>
                <w:sz w:val="16"/>
                <w:szCs w:val="16"/>
              </w:rPr>
            </w:pPr>
            <w:r w:rsidRPr="00B6591A">
              <w:rPr>
                <w:rFonts w:ascii="Calibri" w:hAnsi="Calibri" w:cs="Calibri"/>
                <w:color w:val="D9D9D9" w:themeColor="background1" w:themeShade="D9"/>
                <w:sz w:val="18"/>
                <w:szCs w:val="18"/>
              </w:rPr>
              <w:t>4.0</w:t>
            </w:r>
          </w:p>
        </w:tc>
        <w:tc>
          <w:tcPr>
            <w:tcW w:w="997" w:type="dxa"/>
            <w:tcBorders>
              <w:top w:val="single" w:sz="8" w:space="0" w:color="auto"/>
              <w:left w:val="single" w:sz="8" w:space="0" w:color="auto"/>
              <w:bottom w:val="single" w:sz="8" w:space="0" w:color="auto"/>
              <w:right w:val="single" w:sz="8" w:space="0" w:color="auto"/>
            </w:tcBorders>
            <w:vAlign w:val="center"/>
            <w:hideMark/>
          </w:tcPr>
          <w:p w14:paraId="59F5B5B0" w14:textId="77777777" w:rsidR="00B6591A" w:rsidRPr="00B6591A" w:rsidRDefault="00B6591A">
            <w:pPr>
              <w:spacing w:line="256" w:lineRule="auto"/>
              <w:jc w:val="center"/>
              <w:rPr>
                <w:color w:val="D9D9D9" w:themeColor="background1" w:themeShade="D9"/>
                <w:sz w:val="16"/>
                <w:szCs w:val="16"/>
              </w:rPr>
            </w:pPr>
            <w:r w:rsidRPr="00B6591A">
              <w:rPr>
                <w:rFonts w:ascii="Calibri" w:hAnsi="Calibri" w:cs="Calibri"/>
                <w:color w:val="D9D9D9" w:themeColor="background1" w:themeShade="D9"/>
                <w:sz w:val="18"/>
                <w:szCs w:val="18"/>
              </w:rPr>
              <w:t>38</w:t>
            </w:r>
          </w:p>
        </w:tc>
      </w:tr>
      <w:tr w:rsidR="00B6591A" w14:paraId="64D83099" w14:textId="77777777" w:rsidTr="00B6591A">
        <w:trPr>
          <w:trHeight w:val="663"/>
        </w:trPr>
        <w:tc>
          <w:tcPr>
            <w:tcW w:w="9277" w:type="dxa"/>
            <w:gridSpan w:val="6"/>
            <w:tcBorders>
              <w:top w:val="single" w:sz="8" w:space="0" w:color="auto"/>
              <w:left w:val="single" w:sz="8" w:space="0" w:color="auto"/>
              <w:bottom w:val="single" w:sz="8" w:space="0" w:color="auto"/>
              <w:right w:val="single" w:sz="8" w:space="0" w:color="auto"/>
            </w:tcBorders>
            <w:noWrap/>
            <w:vAlign w:val="center"/>
            <w:hideMark/>
          </w:tcPr>
          <w:p w14:paraId="5EC591F4" w14:textId="77777777" w:rsidR="00B6591A" w:rsidRDefault="00B6591A">
            <w:pPr>
              <w:spacing w:line="256" w:lineRule="auto"/>
              <w:rPr>
                <w:rFonts w:ascii="Calibri" w:hAnsi="Calibri" w:cs="Calibri"/>
                <w:color w:val="000000"/>
                <w:sz w:val="18"/>
                <w:szCs w:val="18"/>
              </w:rPr>
            </w:pPr>
            <w:r>
              <w:rPr>
                <w:rFonts w:ascii="Calibri" w:hAnsi="Calibri" w:cs="Calibri"/>
                <w:color w:val="000000"/>
                <w:sz w:val="18"/>
                <w:szCs w:val="18"/>
              </w:rPr>
              <w:t>Notes:</w:t>
            </w:r>
          </w:p>
          <w:p w14:paraId="5C7D30BB" w14:textId="77777777" w:rsidR="00B6591A" w:rsidRDefault="00B6591A">
            <w:pPr>
              <w:spacing w:line="256" w:lineRule="auto"/>
              <w:rPr>
                <w:rFonts w:ascii="Calibri" w:hAnsi="Calibri" w:cs="Calibri"/>
                <w:color w:val="000000"/>
                <w:sz w:val="18"/>
                <w:szCs w:val="18"/>
              </w:rPr>
            </w:pPr>
            <w:r>
              <w:rPr>
                <w:rFonts w:ascii="Calibri" w:hAnsi="Calibri" w:cs="Calibri"/>
                <w:color w:val="000000"/>
                <w:sz w:val="18"/>
                <w:szCs w:val="18"/>
              </w:rPr>
              <w:t>1. 1sym NR PDCCH in s2 used as baseline with s0, s1 reserved for LTE PDCCH and remaining 11 symbols for data.</w:t>
            </w:r>
          </w:p>
          <w:p w14:paraId="49C34FC6" w14:textId="77777777" w:rsidR="00B6591A" w:rsidRDefault="00B6591A">
            <w:pPr>
              <w:spacing w:line="256" w:lineRule="auto"/>
              <w:rPr>
                <w:rFonts w:ascii="Calibri" w:hAnsi="Calibri" w:cs="Calibri"/>
                <w:color w:val="000000"/>
                <w:sz w:val="18"/>
                <w:szCs w:val="18"/>
              </w:rPr>
            </w:pPr>
            <w:r>
              <w:rPr>
                <w:rFonts w:ascii="Calibri" w:hAnsi="Calibri" w:cs="Calibri"/>
                <w:color w:val="000000"/>
                <w:sz w:val="18"/>
                <w:szCs w:val="18"/>
              </w:rPr>
              <w:t>2. Details such as coexistence assumptions and fraction of UEs that can support the Rel18 enhancement are provided in the corresponding Observation 7 mentioned in the description. CS/SS implies CORESET/Search space</w:t>
            </w:r>
          </w:p>
        </w:tc>
      </w:tr>
    </w:tbl>
    <w:p w14:paraId="54CD5D55" w14:textId="77777777" w:rsidR="00B6591A" w:rsidRDefault="00B6591A" w:rsidP="00B6591A">
      <w:pPr>
        <w:pStyle w:val="BodyText"/>
      </w:pPr>
    </w:p>
    <w:p w14:paraId="65827A77" w14:textId="77777777" w:rsidR="00B6591A" w:rsidRDefault="00B6591A" w:rsidP="00B6591A">
      <w:pPr>
        <w:pStyle w:val="Caption"/>
      </w:pPr>
      <w:r>
        <w:t>Table 2.3.0-3. Summary of PDCCH capacity evaluations (Scenario #3A)</w:t>
      </w:r>
    </w:p>
    <w:tbl>
      <w:tblPr>
        <w:tblW w:w="9277" w:type="dxa"/>
        <w:tblInd w:w="-10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72"/>
        <w:gridCol w:w="1137"/>
        <w:gridCol w:w="4707"/>
        <w:gridCol w:w="970"/>
        <w:gridCol w:w="994"/>
        <w:gridCol w:w="997"/>
      </w:tblGrid>
      <w:tr w:rsidR="00B6591A" w14:paraId="5304FFF2" w14:textId="77777777" w:rsidTr="00B6591A">
        <w:trPr>
          <w:trHeight w:val="286"/>
        </w:trPr>
        <w:tc>
          <w:tcPr>
            <w:tcW w:w="472" w:type="dxa"/>
            <w:vMerge w:val="restart"/>
            <w:tcBorders>
              <w:top w:val="single" w:sz="8" w:space="0" w:color="auto"/>
              <w:left w:val="single" w:sz="8" w:space="0" w:color="auto"/>
              <w:bottom w:val="single" w:sz="8" w:space="0" w:color="auto"/>
              <w:right w:val="single" w:sz="8" w:space="0" w:color="auto"/>
            </w:tcBorders>
            <w:noWrap/>
            <w:vAlign w:val="center"/>
            <w:hideMark/>
          </w:tcPr>
          <w:p w14:paraId="59A11958" w14:textId="77777777" w:rsidR="00B6591A" w:rsidRDefault="00B6591A">
            <w:pPr>
              <w:spacing w:line="256" w:lineRule="auto"/>
              <w:jc w:val="center"/>
              <w:rPr>
                <w:color w:val="000000"/>
                <w:szCs w:val="20"/>
              </w:rPr>
            </w:pPr>
            <w:r>
              <w:rPr>
                <w:color w:val="000000"/>
                <w:szCs w:val="20"/>
              </w:rPr>
              <w:t> </w:t>
            </w:r>
          </w:p>
        </w:tc>
        <w:tc>
          <w:tcPr>
            <w:tcW w:w="1137" w:type="dxa"/>
            <w:vMerge w:val="restart"/>
            <w:tcBorders>
              <w:top w:val="single" w:sz="8" w:space="0" w:color="auto"/>
              <w:left w:val="single" w:sz="8" w:space="0" w:color="auto"/>
              <w:bottom w:val="single" w:sz="8" w:space="0" w:color="auto"/>
              <w:right w:val="single" w:sz="8" w:space="0" w:color="auto"/>
            </w:tcBorders>
            <w:noWrap/>
            <w:vAlign w:val="center"/>
            <w:hideMark/>
          </w:tcPr>
          <w:p w14:paraId="14563750" w14:textId="77777777" w:rsidR="00B6591A" w:rsidRDefault="00B6591A">
            <w:pPr>
              <w:spacing w:line="256" w:lineRule="auto"/>
              <w:jc w:val="center"/>
              <w:rPr>
                <w:color w:val="000000"/>
                <w:szCs w:val="20"/>
              </w:rPr>
            </w:pPr>
            <w:r>
              <w:rPr>
                <w:color w:val="000000"/>
                <w:szCs w:val="20"/>
              </w:rPr>
              <w:t>Evaluated case</w:t>
            </w:r>
          </w:p>
        </w:tc>
        <w:tc>
          <w:tcPr>
            <w:tcW w:w="4707" w:type="dxa"/>
            <w:vMerge w:val="restart"/>
            <w:tcBorders>
              <w:top w:val="single" w:sz="8" w:space="0" w:color="auto"/>
              <w:left w:val="single" w:sz="8" w:space="0" w:color="auto"/>
              <w:bottom w:val="single" w:sz="8" w:space="0" w:color="auto"/>
              <w:right w:val="single" w:sz="8" w:space="0" w:color="auto"/>
            </w:tcBorders>
            <w:noWrap/>
            <w:vAlign w:val="center"/>
            <w:hideMark/>
          </w:tcPr>
          <w:p w14:paraId="4A94B295" w14:textId="77777777" w:rsidR="00B6591A" w:rsidRDefault="00B6591A">
            <w:pPr>
              <w:spacing w:line="256" w:lineRule="auto"/>
              <w:jc w:val="center"/>
              <w:rPr>
                <w:color w:val="000000"/>
                <w:szCs w:val="20"/>
              </w:rPr>
            </w:pPr>
            <w:r>
              <w:rPr>
                <w:color w:val="000000"/>
                <w:szCs w:val="20"/>
              </w:rPr>
              <w:t xml:space="preserve">Description </w:t>
            </w:r>
            <w:r>
              <w:rPr>
                <w:color w:val="000000"/>
                <w:szCs w:val="20"/>
                <w:vertAlign w:val="superscript"/>
              </w:rPr>
              <w:t>2</w:t>
            </w:r>
          </w:p>
        </w:tc>
        <w:tc>
          <w:tcPr>
            <w:tcW w:w="2961" w:type="dxa"/>
            <w:gridSpan w:val="3"/>
            <w:tcBorders>
              <w:top w:val="single" w:sz="8" w:space="0" w:color="auto"/>
              <w:left w:val="single" w:sz="8" w:space="0" w:color="auto"/>
              <w:bottom w:val="single" w:sz="8" w:space="0" w:color="auto"/>
              <w:right w:val="single" w:sz="8" w:space="0" w:color="auto"/>
            </w:tcBorders>
            <w:noWrap/>
            <w:vAlign w:val="center"/>
            <w:hideMark/>
          </w:tcPr>
          <w:p w14:paraId="4593D2A6" w14:textId="77777777" w:rsidR="00B6591A" w:rsidRDefault="00B6591A">
            <w:pPr>
              <w:spacing w:line="256" w:lineRule="auto"/>
              <w:jc w:val="center"/>
              <w:rPr>
                <w:color w:val="000000"/>
                <w:szCs w:val="20"/>
              </w:rPr>
            </w:pPr>
            <w:r>
              <w:rPr>
                <w:color w:val="000000"/>
                <w:szCs w:val="20"/>
              </w:rPr>
              <w:t>PDCCH capacity</w:t>
            </w:r>
            <w:r>
              <w:rPr>
                <w:color w:val="000000"/>
                <w:szCs w:val="20"/>
              </w:rPr>
              <w:br/>
              <w:t>(Avg. #DCIs per slot)</w:t>
            </w:r>
          </w:p>
        </w:tc>
      </w:tr>
      <w:tr w:rsidR="00B6591A" w14:paraId="3E3749FF" w14:textId="77777777" w:rsidTr="00B6591A">
        <w:trPr>
          <w:trHeight w:val="286"/>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1DBD85C" w14:textId="77777777" w:rsidR="00B6591A" w:rsidRDefault="00B6591A">
            <w:pPr>
              <w:spacing w:line="256" w:lineRule="auto"/>
              <w:rPr>
                <w:color w:val="000000"/>
                <w:szCs w:val="20"/>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6A07F50C" w14:textId="77777777" w:rsidR="00B6591A" w:rsidRDefault="00B6591A">
            <w:pPr>
              <w:spacing w:line="256" w:lineRule="auto"/>
              <w:rPr>
                <w:color w:val="000000"/>
                <w:szCs w:val="20"/>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4E50ACF8" w14:textId="77777777" w:rsidR="00B6591A" w:rsidRDefault="00B6591A">
            <w:pPr>
              <w:spacing w:line="256" w:lineRule="auto"/>
              <w:rPr>
                <w:color w:val="000000"/>
                <w:szCs w:val="20"/>
              </w:rPr>
            </w:pPr>
          </w:p>
        </w:tc>
        <w:tc>
          <w:tcPr>
            <w:tcW w:w="970" w:type="dxa"/>
            <w:tcBorders>
              <w:top w:val="single" w:sz="8" w:space="0" w:color="auto"/>
              <w:left w:val="single" w:sz="8" w:space="0" w:color="auto"/>
              <w:bottom w:val="single" w:sz="8" w:space="0" w:color="auto"/>
              <w:right w:val="single" w:sz="8" w:space="0" w:color="auto"/>
            </w:tcBorders>
            <w:noWrap/>
            <w:vAlign w:val="bottom"/>
            <w:hideMark/>
          </w:tcPr>
          <w:p w14:paraId="08088E3F" w14:textId="77777777" w:rsidR="00B6591A" w:rsidRDefault="00B6591A">
            <w:pPr>
              <w:spacing w:line="256" w:lineRule="auto"/>
              <w:rPr>
                <w:color w:val="000000"/>
                <w:szCs w:val="20"/>
              </w:rPr>
            </w:pPr>
            <w:r>
              <w:rPr>
                <w:color w:val="000000"/>
                <w:szCs w:val="20"/>
              </w:rPr>
              <w:t>Baseline</w:t>
            </w:r>
            <w:r>
              <w:rPr>
                <w:color w:val="000000"/>
                <w:szCs w:val="20"/>
                <w:vertAlign w:val="superscript"/>
              </w:rPr>
              <w:t>1</w:t>
            </w:r>
          </w:p>
        </w:tc>
        <w:tc>
          <w:tcPr>
            <w:tcW w:w="994" w:type="dxa"/>
            <w:tcBorders>
              <w:top w:val="single" w:sz="8" w:space="0" w:color="auto"/>
              <w:left w:val="single" w:sz="8" w:space="0" w:color="auto"/>
              <w:bottom w:val="single" w:sz="8" w:space="0" w:color="auto"/>
              <w:right w:val="single" w:sz="8" w:space="0" w:color="auto"/>
            </w:tcBorders>
            <w:noWrap/>
            <w:vAlign w:val="bottom"/>
            <w:hideMark/>
          </w:tcPr>
          <w:p w14:paraId="4B45CCCB" w14:textId="77777777" w:rsidR="00B6591A" w:rsidRDefault="00B6591A">
            <w:pPr>
              <w:spacing w:line="256" w:lineRule="auto"/>
              <w:rPr>
                <w:color w:val="000000"/>
                <w:szCs w:val="20"/>
              </w:rPr>
            </w:pPr>
            <w:r>
              <w:rPr>
                <w:color w:val="000000"/>
                <w:szCs w:val="20"/>
              </w:rPr>
              <w:t xml:space="preserve">R18 </w:t>
            </w:r>
            <w:proofErr w:type="spellStart"/>
            <w:r>
              <w:rPr>
                <w:color w:val="000000"/>
                <w:szCs w:val="20"/>
              </w:rPr>
              <w:t>enh</w:t>
            </w:r>
            <w:proofErr w:type="spellEnd"/>
            <w:r>
              <w:rPr>
                <w:color w:val="000000"/>
                <w:szCs w:val="20"/>
              </w:rPr>
              <w:t>.</w:t>
            </w:r>
          </w:p>
        </w:tc>
        <w:tc>
          <w:tcPr>
            <w:tcW w:w="997" w:type="dxa"/>
            <w:tcBorders>
              <w:top w:val="single" w:sz="8" w:space="0" w:color="auto"/>
              <w:left w:val="single" w:sz="8" w:space="0" w:color="auto"/>
              <w:bottom w:val="single" w:sz="8" w:space="0" w:color="auto"/>
              <w:right w:val="single" w:sz="8" w:space="0" w:color="auto"/>
            </w:tcBorders>
            <w:noWrap/>
            <w:vAlign w:val="bottom"/>
            <w:hideMark/>
          </w:tcPr>
          <w:p w14:paraId="4FCE73A4" w14:textId="77777777" w:rsidR="00B6591A" w:rsidRDefault="00B6591A">
            <w:pPr>
              <w:spacing w:line="256" w:lineRule="auto"/>
              <w:rPr>
                <w:color w:val="000000"/>
                <w:szCs w:val="20"/>
              </w:rPr>
            </w:pPr>
            <w:r>
              <w:rPr>
                <w:color w:val="000000"/>
                <w:szCs w:val="20"/>
              </w:rPr>
              <w:t>Gain (%)</w:t>
            </w:r>
          </w:p>
        </w:tc>
      </w:tr>
      <w:tr w:rsidR="00B6591A" w14:paraId="39B2897E" w14:textId="77777777" w:rsidTr="00B6591A">
        <w:trPr>
          <w:trHeight w:val="663"/>
        </w:trPr>
        <w:tc>
          <w:tcPr>
            <w:tcW w:w="472" w:type="dxa"/>
            <w:tcBorders>
              <w:top w:val="single" w:sz="8" w:space="0" w:color="auto"/>
              <w:left w:val="single" w:sz="8" w:space="0" w:color="auto"/>
              <w:bottom w:val="single" w:sz="8" w:space="0" w:color="auto"/>
              <w:right w:val="single" w:sz="8" w:space="0" w:color="auto"/>
            </w:tcBorders>
            <w:noWrap/>
            <w:vAlign w:val="center"/>
            <w:hideMark/>
          </w:tcPr>
          <w:p w14:paraId="6A1E994B" w14:textId="77777777" w:rsidR="00B6591A" w:rsidRDefault="00B6591A">
            <w:pPr>
              <w:spacing w:line="256" w:lineRule="auto"/>
              <w:jc w:val="right"/>
              <w:rPr>
                <w:color w:val="000000"/>
                <w:sz w:val="16"/>
                <w:szCs w:val="16"/>
              </w:rPr>
            </w:pPr>
            <w:r>
              <w:rPr>
                <w:color w:val="000000"/>
                <w:sz w:val="16"/>
                <w:szCs w:val="16"/>
              </w:rPr>
              <w:lastRenderedPageBreak/>
              <w:t>9</w:t>
            </w:r>
          </w:p>
        </w:tc>
        <w:tc>
          <w:tcPr>
            <w:tcW w:w="1137" w:type="dxa"/>
            <w:tcBorders>
              <w:top w:val="single" w:sz="8" w:space="0" w:color="auto"/>
              <w:left w:val="single" w:sz="8" w:space="0" w:color="auto"/>
              <w:bottom w:val="single" w:sz="8" w:space="0" w:color="auto"/>
              <w:right w:val="single" w:sz="8" w:space="0" w:color="auto"/>
            </w:tcBorders>
            <w:noWrap/>
            <w:vAlign w:val="center"/>
            <w:hideMark/>
          </w:tcPr>
          <w:p w14:paraId="32EBD466" w14:textId="77777777" w:rsidR="00B6591A" w:rsidRDefault="00B6591A">
            <w:pPr>
              <w:spacing w:line="256" w:lineRule="auto"/>
              <w:rPr>
                <w:color w:val="000000"/>
                <w:sz w:val="16"/>
                <w:szCs w:val="16"/>
              </w:rPr>
            </w:pPr>
            <w:r>
              <w:rPr>
                <w:color w:val="000000"/>
                <w:sz w:val="16"/>
                <w:szCs w:val="16"/>
              </w:rPr>
              <w:t xml:space="preserve">#3A-1s-O2 </w:t>
            </w:r>
          </w:p>
        </w:tc>
        <w:tc>
          <w:tcPr>
            <w:tcW w:w="4707" w:type="dxa"/>
            <w:tcBorders>
              <w:top w:val="single" w:sz="8" w:space="0" w:color="auto"/>
              <w:left w:val="single" w:sz="8" w:space="0" w:color="auto"/>
              <w:bottom w:val="single" w:sz="8" w:space="0" w:color="auto"/>
              <w:right w:val="single" w:sz="8" w:space="0" w:color="auto"/>
            </w:tcBorders>
            <w:vAlign w:val="center"/>
            <w:hideMark/>
          </w:tcPr>
          <w:p w14:paraId="1C401417" w14:textId="77777777" w:rsidR="00B6591A" w:rsidRDefault="00B6591A">
            <w:pPr>
              <w:spacing w:line="256" w:lineRule="auto"/>
              <w:rPr>
                <w:color w:val="000000"/>
                <w:sz w:val="16"/>
                <w:szCs w:val="16"/>
              </w:rPr>
            </w:pPr>
            <w:r>
              <w:rPr>
                <w:color w:val="000000"/>
                <w:sz w:val="16"/>
                <w:szCs w:val="16"/>
              </w:rPr>
              <w:t>1sym CS/SS in s1, legacy RE mapping, legacy Rx processing for PDCCH REs, PDCCH DMRS REs and legacy CE.</w:t>
            </w:r>
          </w:p>
          <w:p w14:paraId="614F7153" w14:textId="77777777" w:rsidR="00B6591A" w:rsidRDefault="00B6591A">
            <w:pPr>
              <w:spacing w:line="256" w:lineRule="auto"/>
              <w:rPr>
                <w:color w:val="000000"/>
                <w:sz w:val="16"/>
                <w:szCs w:val="16"/>
              </w:rPr>
            </w:pPr>
            <w:r>
              <w:rPr>
                <w:color w:val="000000"/>
                <w:sz w:val="16"/>
                <w:szCs w:val="16"/>
              </w:rPr>
              <w:t>More details in Observation 8, section 2.3.3</w:t>
            </w:r>
          </w:p>
        </w:tc>
        <w:tc>
          <w:tcPr>
            <w:tcW w:w="970" w:type="dxa"/>
            <w:tcBorders>
              <w:top w:val="single" w:sz="8" w:space="0" w:color="auto"/>
              <w:left w:val="single" w:sz="8" w:space="0" w:color="auto"/>
              <w:bottom w:val="single" w:sz="8" w:space="0" w:color="auto"/>
              <w:right w:val="single" w:sz="8" w:space="0" w:color="auto"/>
            </w:tcBorders>
            <w:noWrap/>
            <w:vAlign w:val="center"/>
            <w:hideMark/>
          </w:tcPr>
          <w:p w14:paraId="3FBB551E" w14:textId="77777777" w:rsidR="00B6591A" w:rsidRDefault="00B6591A">
            <w:pPr>
              <w:spacing w:line="256" w:lineRule="auto"/>
              <w:jc w:val="center"/>
              <w:rPr>
                <w:color w:val="000000"/>
                <w:sz w:val="16"/>
                <w:szCs w:val="16"/>
              </w:rPr>
            </w:pPr>
            <w:r>
              <w:rPr>
                <w:color w:val="000000"/>
                <w:sz w:val="16"/>
                <w:szCs w:val="16"/>
              </w:rPr>
              <w:t>5.8</w:t>
            </w:r>
          </w:p>
        </w:tc>
        <w:tc>
          <w:tcPr>
            <w:tcW w:w="994" w:type="dxa"/>
            <w:tcBorders>
              <w:top w:val="single" w:sz="8" w:space="0" w:color="auto"/>
              <w:left w:val="single" w:sz="8" w:space="0" w:color="auto"/>
              <w:bottom w:val="single" w:sz="8" w:space="0" w:color="auto"/>
              <w:right w:val="single" w:sz="8" w:space="0" w:color="auto"/>
            </w:tcBorders>
            <w:vAlign w:val="center"/>
            <w:hideMark/>
          </w:tcPr>
          <w:p w14:paraId="10BD432E" w14:textId="77777777" w:rsidR="00B6591A" w:rsidRDefault="00B6591A">
            <w:pPr>
              <w:spacing w:line="256" w:lineRule="auto"/>
              <w:jc w:val="center"/>
              <w:rPr>
                <w:rFonts w:ascii="Calibri" w:hAnsi="Calibri" w:cs="Calibri"/>
                <w:color w:val="000000"/>
                <w:sz w:val="18"/>
                <w:szCs w:val="18"/>
              </w:rPr>
            </w:pPr>
            <w:r>
              <w:rPr>
                <w:rFonts w:ascii="Calibri" w:hAnsi="Calibri" w:cs="Calibri"/>
                <w:color w:val="000000"/>
                <w:sz w:val="18"/>
                <w:szCs w:val="18"/>
              </w:rPr>
              <w:t>7.1</w:t>
            </w:r>
          </w:p>
        </w:tc>
        <w:tc>
          <w:tcPr>
            <w:tcW w:w="997" w:type="dxa"/>
            <w:tcBorders>
              <w:top w:val="single" w:sz="8" w:space="0" w:color="auto"/>
              <w:left w:val="single" w:sz="8" w:space="0" w:color="auto"/>
              <w:bottom w:val="single" w:sz="8" w:space="0" w:color="auto"/>
              <w:right w:val="single" w:sz="8" w:space="0" w:color="auto"/>
            </w:tcBorders>
            <w:vAlign w:val="center"/>
            <w:hideMark/>
          </w:tcPr>
          <w:p w14:paraId="47C70909" w14:textId="77777777" w:rsidR="00B6591A" w:rsidRDefault="00B6591A">
            <w:pPr>
              <w:spacing w:line="256" w:lineRule="auto"/>
              <w:jc w:val="center"/>
              <w:rPr>
                <w:rFonts w:ascii="Calibri" w:hAnsi="Calibri" w:cs="Calibri"/>
                <w:color w:val="000000"/>
                <w:sz w:val="18"/>
                <w:szCs w:val="18"/>
              </w:rPr>
            </w:pPr>
            <w:r>
              <w:rPr>
                <w:rFonts w:ascii="Calibri" w:hAnsi="Calibri" w:cs="Calibri"/>
                <w:color w:val="000000"/>
                <w:sz w:val="18"/>
                <w:szCs w:val="18"/>
              </w:rPr>
              <w:t>24</w:t>
            </w:r>
          </w:p>
        </w:tc>
      </w:tr>
      <w:tr w:rsidR="00B6591A" w14:paraId="068C2F22" w14:textId="77777777" w:rsidTr="00B6591A">
        <w:trPr>
          <w:trHeight w:val="663"/>
        </w:trPr>
        <w:tc>
          <w:tcPr>
            <w:tcW w:w="472" w:type="dxa"/>
            <w:tcBorders>
              <w:top w:val="single" w:sz="8" w:space="0" w:color="auto"/>
              <w:left w:val="single" w:sz="8" w:space="0" w:color="auto"/>
              <w:bottom w:val="single" w:sz="8" w:space="0" w:color="auto"/>
              <w:right w:val="single" w:sz="8" w:space="0" w:color="auto"/>
            </w:tcBorders>
            <w:noWrap/>
            <w:vAlign w:val="center"/>
            <w:hideMark/>
          </w:tcPr>
          <w:p w14:paraId="11517DD8" w14:textId="77777777" w:rsidR="00B6591A" w:rsidRDefault="00B6591A">
            <w:pPr>
              <w:spacing w:line="256" w:lineRule="auto"/>
              <w:jc w:val="right"/>
              <w:rPr>
                <w:color w:val="000000"/>
                <w:sz w:val="16"/>
                <w:szCs w:val="16"/>
              </w:rPr>
            </w:pPr>
            <w:r>
              <w:rPr>
                <w:color w:val="000000"/>
                <w:sz w:val="16"/>
                <w:szCs w:val="16"/>
              </w:rPr>
              <w:t>10</w:t>
            </w:r>
          </w:p>
        </w:tc>
        <w:tc>
          <w:tcPr>
            <w:tcW w:w="1137" w:type="dxa"/>
            <w:tcBorders>
              <w:top w:val="single" w:sz="8" w:space="0" w:color="auto"/>
              <w:left w:val="single" w:sz="8" w:space="0" w:color="auto"/>
              <w:bottom w:val="single" w:sz="8" w:space="0" w:color="auto"/>
              <w:right w:val="single" w:sz="8" w:space="0" w:color="auto"/>
            </w:tcBorders>
            <w:noWrap/>
            <w:vAlign w:val="center"/>
            <w:hideMark/>
          </w:tcPr>
          <w:p w14:paraId="7E557D7D" w14:textId="77777777" w:rsidR="00B6591A" w:rsidRDefault="00B6591A">
            <w:pPr>
              <w:spacing w:line="256" w:lineRule="auto"/>
              <w:rPr>
                <w:color w:val="000000"/>
                <w:sz w:val="16"/>
                <w:szCs w:val="16"/>
              </w:rPr>
            </w:pPr>
            <w:r>
              <w:rPr>
                <w:color w:val="000000"/>
                <w:sz w:val="16"/>
                <w:szCs w:val="16"/>
              </w:rPr>
              <w:t>#3A-1s-O2a</w:t>
            </w:r>
          </w:p>
        </w:tc>
        <w:tc>
          <w:tcPr>
            <w:tcW w:w="4707" w:type="dxa"/>
            <w:tcBorders>
              <w:top w:val="single" w:sz="8" w:space="0" w:color="auto"/>
              <w:left w:val="single" w:sz="8" w:space="0" w:color="auto"/>
              <w:bottom w:val="single" w:sz="8" w:space="0" w:color="auto"/>
              <w:right w:val="single" w:sz="8" w:space="0" w:color="auto"/>
            </w:tcBorders>
            <w:vAlign w:val="center"/>
            <w:hideMark/>
          </w:tcPr>
          <w:p w14:paraId="30BC2331" w14:textId="77777777" w:rsidR="00B6591A" w:rsidRDefault="00B6591A">
            <w:pPr>
              <w:spacing w:line="256" w:lineRule="auto"/>
              <w:rPr>
                <w:color w:val="000000"/>
                <w:sz w:val="16"/>
                <w:szCs w:val="16"/>
              </w:rPr>
            </w:pPr>
            <w:r>
              <w:rPr>
                <w:color w:val="000000"/>
                <w:sz w:val="16"/>
                <w:szCs w:val="16"/>
              </w:rPr>
              <w:t>1sym CS/SS in s1, legacy RE mapping, legacy Rx processing for PDCCH DMRS REs and legacy CE, PDCCH REs overlapping with CRS punctured/nulled by Rx.</w:t>
            </w:r>
          </w:p>
          <w:p w14:paraId="3C9ECF2A" w14:textId="77777777" w:rsidR="00B6591A" w:rsidRDefault="00B6591A">
            <w:pPr>
              <w:spacing w:line="256" w:lineRule="auto"/>
              <w:rPr>
                <w:color w:val="000000"/>
                <w:sz w:val="16"/>
                <w:szCs w:val="16"/>
              </w:rPr>
            </w:pPr>
            <w:r>
              <w:rPr>
                <w:color w:val="000000"/>
                <w:sz w:val="16"/>
                <w:szCs w:val="16"/>
              </w:rPr>
              <w:t>More details in Observation 8, section 2.3.3</w:t>
            </w:r>
          </w:p>
        </w:tc>
        <w:tc>
          <w:tcPr>
            <w:tcW w:w="970" w:type="dxa"/>
            <w:tcBorders>
              <w:top w:val="single" w:sz="8" w:space="0" w:color="auto"/>
              <w:left w:val="single" w:sz="8" w:space="0" w:color="auto"/>
              <w:bottom w:val="single" w:sz="8" w:space="0" w:color="auto"/>
              <w:right w:val="single" w:sz="8" w:space="0" w:color="auto"/>
            </w:tcBorders>
            <w:noWrap/>
            <w:vAlign w:val="center"/>
            <w:hideMark/>
          </w:tcPr>
          <w:p w14:paraId="337E5939" w14:textId="77777777" w:rsidR="00B6591A" w:rsidRDefault="00B6591A">
            <w:pPr>
              <w:spacing w:line="256" w:lineRule="auto"/>
              <w:jc w:val="center"/>
              <w:rPr>
                <w:color w:val="000000"/>
                <w:sz w:val="16"/>
                <w:szCs w:val="16"/>
              </w:rPr>
            </w:pPr>
            <w:r>
              <w:rPr>
                <w:color w:val="000000"/>
                <w:sz w:val="16"/>
                <w:szCs w:val="16"/>
              </w:rPr>
              <w:t>5.8</w:t>
            </w:r>
          </w:p>
        </w:tc>
        <w:tc>
          <w:tcPr>
            <w:tcW w:w="994" w:type="dxa"/>
            <w:tcBorders>
              <w:top w:val="single" w:sz="8" w:space="0" w:color="auto"/>
              <w:left w:val="single" w:sz="8" w:space="0" w:color="auto"/>
              <w:bottom w:val="single" w:sz="8" w:space="0" w:color="auto"/>
              <w:right w:val="single" w:sz="8" w:space="0" w:color="auto"/>
            </w:tcBorders>
            <w:vAlign w:val="center"/>
            <w:hideMark/>
          </w:tcPr>
          <w:p w14:paraId="1131A6D1" w14:textId="77777777" w:rsidR="00B6591A" w:rsidRDefault="00B6591A">
            <w:pPr>
              <w:spacing w:line="256" w:lineRule="auto"/>
              <w:jc w:val="center"/>
              <w:rPr>
                <w:rFonts w:ascii="Calibri" w:hAnsi="Calibri" w:cs="Calibri"/>
                <w:color w:val="000000"/>
                <w:sz w:val="18"/>
                <w:szCs w:val="18"/>
              </w:rPr>
            </w:pPr>
            <w:r>
              <w:rPr>
                <w:rFonts w:ascii="Calibri" w:hAnsi="Calibri" w:cs="Calibri"/>
                <w:color w:val="000000"/>
                <w:sz w:val="18"/>
                <w:szCs w:val="18"/>
              </w:rPr>
              <w:t>7.8</w:t>
            </w:r>
          </w:p>
        </w:tc>
        <w:tc>
          <w:tcPr>
            <w:tcW w:w="997" w:type="dxa"/>
            <w:tcBorders>
              <w:top w:val="single" w:sz="8" w:space="0" w:color="auto"/>
              <w:left w:val="single" w:sz="8" w:space="0" w:color="auto"/>
              <w:bottom w:val="single" w:sz="8" w:space="0" w:color="auto"/>
              <w:right w:val="single" w:sz="8" w:space="0" w:color="auto"/>
            </w:tcBorders>
            <w:vAlign w:val="center"/>
            <w:hideMark/>
          </w:tcPr>
          <w:p w14:paraId="38D961DD" w14:textId="77777777" w:rsidR="00B6591A" w:rsidRDefault="00B6591A">
            <w:pPr>
              <w:spacing w:line="256" w:lineRule="auto"/>
              <w:jc w:val="center"/>
              <w:rPr>
                <w:rFonts w:ascii="Calibri" w:hAnsi="Calibri" w:cs="Calibri"/>
                <w:color w:val="000000"/>
                <w:sz w:val="18"/>
                <w:szCs w:val="18"/>
              </w:rPr>
            </w:pPr>
            <w:r>
              <w:rPr>
                <w:rFonts w:ascii="Calibri" w:hAnsi="Calibri" w:cs="Calibri"/>
                <w:color w:val="000000"/>
                <w:sz w:val="18"/>
                <w:szCs w:val="18"/>
              </w:rPr>
              <w:t>34</w:t>
            </w:r>
          </w:p>
        </w:tc>
      </w:tr>
      <w:tr w:rsidR="003F7B0B" w:rsidRPr="003F7B0B" w14:paraId="14263D99" w14:textId="77777777" w:rsidTr="00B6591A">
        <w:trPr>
          <w:trHeight w:val="663"/>
        </w:trPr>
        <w:tc>
          <w:tcPr>
            <w:tcW w:w="472" w:type="dxa"/>
            <w:tcBorders>
              <w:top w:val="single" w:sz="8" w:space="0" w:color="auto"/>
              <w:left w:val="single" w:sz="8" w:space="0" w:color="auto"/>
              <w:bottom w:val="single" w:sz="8" w:space="0" w:color="auto"/>
              <w:right w:val="single" w:sz="8" w:space="0" w:color="auto"/>
            </w:tcBorders>
            <w:noWrap/>
            <w:vAlign w:val="center"/>
            <w:hideMark/>
          </w:tcPr>
          <w:p w14:paraId="4AF8E8A4" w14:textId="77777777" w:rsidR="00B6591A" w:rsidRPr="003F7B0B" w:rsidRDefault="00B6591A">
            <w:pPr>
              <w:spacing w:line="256" w:lineRule="auto"/>
              <w:jc w:val="right"/>
              <w:rPr>
                <w:color w:val="D9D9D9" w:themeColor="background1" w:themeShade="D9"/>
                <w:sz w:val="16"/>
                <w:szCs w:val="16"/>
              </w:rPr>
            </w:pPr>
            <w:r w:rsidRPr="003F7B0B">
              <w:rPr>
                <w:color w:val="D9D9D9" w:themeColor="background1" w:themeShade="D9"/>
                <w:sz w:val="16"/>
                <w:szCs w:val="16"/>
              </w:rPr>
              <w:t>11</w:t>
            </w:r>
          </w:p>
        </w:tc>
        <w:tc>
          <w:tcPr>
            <w:tcW w:w="1137" w:type="dxa"/>
            <w:tcBorders>
              <w:top w:val="single" w:sz="8" w:space="0" w:color="auto"/>
              <w:left w:val="single" w:sz="8" w:space="0" w:color="auto"/>
              <w:bottom w:val="single" w:sz="8" w:space="0" w:color="auto"/>
              <w:right w:val="single" w:sz="8" w:space="0" w:color="auto"/>
            </w:tcBorders>
            <w:noWrap/>
            <w:vAlign w:val="center"/>
            <w:hideMark/>
          </w:tcPr>
          <w:p w14:paraId="4A01CBBF" w14:textId="77777777" w:rsidR="00B6591A" w:rsidRPr="003F7B0B" w:rsidRDefault="00B6591A">
            <w:pPr>
              <w:spacing w:line="256" w:lineRule="auto"/>
              <w:rPr>
                <w:color w:val="D9D9D9" w:themeColor="background1" w:themeShade="D9"/>
                <w:sz w:val="16"/>
                <w:szCs w:val="16"/>
              </w:rPr>
            </w:pPr>
            <w:r w:rsidRPr="003F7B0B">
              <w:rPr>
                <w:color w:val="D9D9D9" w:themeColor="background1" w:themeShade="D9"/>
                <w:sz w:val="16"/>
                <w:szCs w:val="16"/>
              </w:rPr>
              <w:t>#3A-1s-O2b</w:t>
            </w:r>
          </w:p>
        </w:tc>
        <w:tc>
          <w:tcPr>
            <w:tcW w:w="4707" w:type="dxa"/>
            <w:tcBorders>
              <w:top w:val="single" w:sz="8" w:space="0" w:color="auto"/>
              <w:left w:val="single" w:sz="8" w:space="0" w:color="auto"/>
              <w:bottom w:val="single" w:sz="8" w:space="0" w:color="auto"/>
              <w:right w:val="single" w:sz="8" w:space="0" w:color="auto"/>
            </w:tcBorders>
            <w:vAlign w:val="center"/>
            <w:hideMark/>
          </w:tcPr>
          <w:p w14:paraId="41F23501" w14:textId="77777777" w:rsidR="00B6591A" w:rsidRPr="003F7B0B" w:rsidRDefault="00B6591A">
            <w:pPr>
              <w:spacing w:line="256" w:lineRule="auto"/>
              <w:rPr>
                <w:color w:val="D9D9D9" w:themeColor="background1" w:themeShade="D9"/>
                <w:sz w:val="16"/>
                <w:szCs w:val="16"/>
              </w:rPr>
            </w:pPr>
            <w:r w:rsidRPr="003F7B0B">
              <w:rPr>
                <w:color w:val="D9D9D9" w:themeColor="background1" w:themeShade="D9"/>
                <w:sz w:val="16"/>
                <w:szCs w:val="16"/>
              </w:rPr>
              <w:t>1sym CS/SS in s1, legacy RE mapping, PDCCH REs and PDCCH DMRS REs overlapping with CRS punctured/nulled by Rx.</w:t>
            </w:r>
          </w:p>
          <w:p w14:paraId="03E8404F" w14:textId="77777777" w:rsidR="00B6591A" w:rsidRPr="003F7B0B" w:rsidRDefault="00B6591A">
            <w:pPr>
              <w:spacing w:line="256" w:lineRule="auto"/>
              <w:rPr>
                <w:color w:val="D9D9D9" w:themeColor="background1" w:themeShade="D9"/>
                <w:sz w:val="16"/>
                <w:szCs w:val="16"/>
              </w:rPr>
            </w:pPr>
            <w:r w:rsidRPr="003F7B0B">
              <w:rPr>
                <w:color w:val="D9D9D9" w:themeColor="background1" w:themeShade="D9"/>
                <w:sz w:val="16"/>
                <w:szCs w:val="16"/>
              </w:rPr>
              <w:t>More details in Observation 8, section 2.3.3</w:t>
            </w:r>
          </w:p>
        </w:tc>
        <w:tc>
          <w:tcPr>
            <w:tcW w:w="970" w:type="dxa"/>
            <w:tcBorders>
              <w:top w:val="single" w:sz="8" w:space="0" w:color="auto"/>
              <w:left w:val="single" w:sz="8" w:space="0" w:color="auto"/>
              <w:bottom w:val="single" w:sz="8" w:space="0" w:color="auto"/>
              <w:right w:val="single" w:sz="8" w:space="0" w:color="auto"/>
            </w:tcBorders>
            <w:noWrap/>
            <w:vAlign w:val="center"/>
            <w:hideMark/>
          </w:tcPr>
          <w:p w14:paraId="7FF7BB1C" w14:textId="77777777" w:rsidR="00B6591A" w:rsidRPr="003F7B0B" w:rsidRDefault="00B6591A">
            <w:pPr>
              <w:spacing w:line="256" w:lineRule="auto"/>
              <w:jc w:val="center"/>
              <w:rPr>
                <w:color w:val="D9D9D9" w:themeColor="background1" w:themeShade="D9"/>
                <w:sz w:val="16"/>
                <w:szCs w:val="16"/>
              </w:rPr>
            </w:pPr>
            <w:r w:rsidRPr="003F7B0B">
              <w:rPr>
                <w:color w:val="D9D9D9" w:themeColor="background1" w:themeShade="D9"/>
                <w:sz w:val="16"/>
                <w:szCs w:val="16"/>
              </w:rPr>
              <w:t>5.8</w:t>
            </w:r>
          </w:p>
        </w:tc>
        <w:tc>
          <w:tcPr>
            <w:tcW w:w="994" w:type="dxa"/>
            <w:tcBorders>
              <w:top w:val="single" w:sz="8" w:space="0" w:color="auto"/>
              <w:left w:val="single" w:sz="8" w:space="0" w:color="auto"/>
              <w:bottom w:val="single" w:sz="8" w:space="0" w:color="auto"/>
              <w:right w:val="single" w:sz="8" w:space="0" w:color="auto"/>
            </w:tcBorders>
            <w:vAlign w:val="center"/>
            <w:hideMark/>
          </w:tcPr>
          <w:p w14:paraId="5DD22C03" w14:textId="77777777" w:rsidR="00B6591A" w:rsidRPr="003F7B0B" w:rsidRDefault="00B6591A">
            <w:pPr>
              <w:spacing w:line="256" w:lineRule="auto"/>
              <w:jc w:val="center"/>
              <w:rPr>
                <w:rFonts w:ascii="Calibri" w:hAnsi="Calibri" w:cs="Calibri"/>
                <w:color w:val="D9D9D9" w:themeColor="background1" w:themeShade="D9"/>
                <w:sz w:val="18"/>
                <w:szCs w:val="18"/>
              </w:rPr>
            </w:pPr>
            <w:r w:rsidRPr="003F7B0B">
              <w:rPr>
                <w:rFonts w:ascii="Calibri" w:hAnsi="Calibri" w:cs="Calibri"/>
                <w:color w:val="D9D9D9" w:themeColor="background1" w:themeShade="D9"/>
                <w:sz w:val="18"/>
                <w:szCs w:val="18"/>
              </w:rPr>
              <w:t>8.0</w:t>
            </w:r>
          </w:p>
        </w:tc>
        <w:tc>
          <w:tcPr>
            <w:tcW w:w="997" w:type="dxa"/>
            <w:tcBorders>
              <w:top w:val="single" w:sz="8" w:space="0" w:color="auto"/>
              <w:left w:val="single" w:sz="8" w:space="0" w:color="auto"/>
              <w:bottom w:val="single" w:sz="8" w:space="0" w:color="auto"/>
              <w:right w:val="single" w:sz="8" w:space="0" w:color="auto"/>
            </w:tcBorders>
            <w:vAlign w:val="center"/>
            <w:hideMark/>
          </w:tcPr>
          <w:p w14:paraId="62EF5F41" w14:textId="77777777" w:rsidR="00B6591A" w:rsidRPr="003F7B0B" w:rsidRDefault="00B6591A">
            <w:pPr>
              <w:spacing w:line="256" w:lineRule="auto"/>
              <w:jc w:val="center"/>
              <w:rPr>
                <w:rFonts w:ascii="Calibri" w:hAnsi="Calibri" w:cs="Calibri"/>
                <w:color w:val="D9D9D9" w:themeColor="background1" w:themeShade="D9"/>
                <w:sz w:val="18"/>
                <w:szCs w:val="18"/>
              </w:rPr>
            </w:pPr>
            <w:r w:rsidRPr="003F7B0B">
              <w:rPr>
                <w:rFonts w:ascii="Calibri" w:hAnsi="Calibri" w:cs="Calibri"/>
                <w:color w:val="D9D9D9" w:themeColor="background1" w:themeShade="D9"/>
                <w:sz w:val="18"/>
                <w:szCs w:val="18"/>
              </w:rPr>
              <w:t>39</w:t>
            </w:r>
          </w:p>
        </w:tc>
      </w:tr>
      <w:tr w:rsidR="00B6591A" w14:paraId="0F1EB074" w14:textId="77777777" w:rsidTr="00B6591A">
        <w:trPr>
          <w:trHeight w:val="663"/>
        </w:trPr>
        <w:tc>
          <w:tcPr>
            <w:tcW w:w="472" w:type="dxa"/>
            <w:tcBorders>
              <w:top w:val="single" w:sz="8" w:space="0" w:color="auto"/>
              <w:left w:val="single" w:sz="8" w:space="0" w:color="auto"/>
              <w:bottom w:val="single" w:sz="8" w:space="0" w:color="auto"/>
              <w:right w:val="single" w:sz="8" w:space="0" w:color="auto"/>
            </w:tcBorders>
            <w:noWrap/>
            <w:vAlign w:val="center"/>
            <w:hideMark/>
          </w:tcPr>
          <w:p w14:paraId="1A15C929" w14:textId="77777777" w:rsidR="00B6591A" w:rsidRDefault="00B6591A">
            <w:pPr>
              <w:spacing w:line="256" w:lineRule="auto"/>
              <w:jc w:val="right"/>
              <w:rPr>
                <w:color w:val="000000"/>
                <w:sz w:val="16"/>
                <w:szCs w:val="16"/>
              </w:rPr>
            </w:pPr>
            <w:r>
              <w:rPr>
                <w:color w:val="000000"/>
                <w:sz w:val="16"/>
                <w:szCs w:val="16"/>
              </w:rPr>
              <w:t>12</w:t>
            </w:r>
          </w:p>
        </w:tc>
        <w:tc>
          <w:tcPr>
            <w:tcW w:w="1137" w:type="dxa"/>
            <w:tcBorders>
              <w:top w:val="single" w:sz="8" w:space="0" w:color="auto"/>
              <w:left w:val="single" w:sz="8" w:space="0" w:color="auto"/>
              <w:bottom w:val="single" w:sz="8" w:space="0" w:color="auto"/>
              <w:right w:val="single" w:sz="8" w:space="0" w:color="auto"/>
            </w:tcBorders>
            <w:noWrap/>
            <w:vAlign w:val="center"/>
            <w:hideMark/>
          </w:tcPr>
          <w:p w14:paraId="50D2F4AC" w14:textId="77777777" w:rsidR="00B6591A" w:rsidRDefault="00B6591A">
            <w:pPr>
              <w:spacing w:line="256" w:lineRule="auto"/>
              <w:rPr>
                <w:color w:val="000000"/>
                <w:sz w:val="16"/>
                <w:szCs w:val="16"/>
              </w:rPr>
            </w:pPr>
            <w:r>
              <w:rPr>
                <w:color w:val="000000"/>
                <w:sz w:val="16"/>
                <w:szCs w:val="16"/>
              </w:rPr>
              <w:t>#3A-2s- O2</w:t>
            </w:r>
          </w:p>
        </w:tc>
        <w:tc>
          <w:tcPr>
            <w:tcW w:w="4707" w:type="dxa"/>
            <w:tcBorders>
              <w:top w:val="single" w:sz="8" w:space="0" w:color="auto"/>
              <w:left w:val="single" w:sz="8" w:space="0" w:color="auto"/>
              <w:bottom w:val="single" w:sz="8" w:space="0" w:color="auto"/>
              <w:right w:val="single" w:sz="8" w:space="0" w:color="auto"/>
            </w:tcBorders>
            <w:vAlign w:val="center"/>
            <w:hideMark/>
          </w:tcPr>
          <w:p w14:paraId="48014EF7" w14:textId="77777777" w:rsidR="00B6591A" w:rsidRDefault="00B6591A">
            <w:pPr>
              <w:spacing w:line="256" w:lineRule="auto"/>
              <w:rPr>
                <w:color w:val="000000"/>
                <w:sz w:val="16"/>
                <w:szCs w:val="16"/>
              </w:rPr>
            </w:pPr>
            <w:r>
              <w:rPr>
                <w:color w:val="000000"/>
                <w:sz w:val="16"/>
                <w:szCs w:val="16"/>
              </w:rPr>
              <w:t>2sym CS/SS in s1+s2, legacy RE mapping, legacy Rx processing for PDCCH REs, PDCCH DMRS REs and legacy CE.</w:t>
            </w:r>
          </w:p>
          <w:p w14:paraId="753F2375" w14:textId="77777777" w:rsidR="00B6591A" w:rsidRDefault="00B6591A">
            <w:pPr>
              <w:spacing w:line="256" w:lineRule="auto"/>
              <w:rPr>
                <w:color w:val="000000"/>
                <w:sz w:val="16"/>
                <w:szCs w:val="16"/>
              </w:rPr>
            </w:pPr>
            <w:r>
              <w:rPr>
                <w:color w:val="000000"/>
                <w:sz w:val="16"/>
                <w:szCs w:val="16"/>
              </w:rPr>
              <w:t>More details in Observation 8, section 2.3.3</w:t>
            </w:r>
          </w:p>
        </w:tc>
        <w:tc>
          <w:tcPr>
            <w:tcW w:w="970" w:type="dxa"/>
            <w:tcBorders>
              <w:top w:val="single" w:sz="8" w:space="0" w:color="auto"/>
              <w:left w:val="single" w:sz="8" w:space="0" w:color="auto"/>
              <w:bottom w:val="single" w:sz="8" w:space="0" w:color="auto"/>
              <w:right w:val="single" w:sz="8" w:space="0" w:color="auto"/>
            </w:tcBorders>
            <w:noWrap/>
            <w:vAlign w:val="center"/>
            <w:hideMark/>
          </w:tcPr>
          <w:p w14:paraId="12403585" w14:textId="77777777" w:rsidR="00B6591A" w:rsidRDefault="00B6591A">
            <w:pPr>
              <w:spacing w:line="256" w:lineRule="auto"/>
              <w:jc w:val="center"/>
              <w:rPr>
                <w:color w:val="000000"/>
                <w:sz w:val="16"/>
                <w:szCs w:val="16"/>
              </w:rPr>
            </w:pPr>
            <w:r>
              <w:rPr>
                <w:color w:val="000000"/>
                <w:sz w:val="16"/>
                <w:szCs w:val="16"/>
              </w:rPr>
              <w:t>5.8</w:t>
            </w:r>
          </w:p>
        </w:tc>
        <w:tc>
          <w:tcPr>
            <w:tcW w:w="994" w:type="dxa"/>
            <w:tcBorders>
              <w:top w:val="single" w:sz="8" w:space="0" w:color="auto"/>
              <w:left w:val="single" w:sz="8" w:space="0" w:color="auto"/>
              <w:bottom w:val="single" w:sz="8" w:space="0" w:color="auto"/>
              <w:right w:val="single" w:sz="8" w:space="0" w:color="auto"/>
            </w:tcBorders>
            <w:vAlign w:val="center"/>
            <w:hideMark/>
          </w:tcPr>
          <w:p w14:paraId="4451E617" w14:textId="77777777" w:rsidR="00B6591A" w:rsidRDefault="00B6591A">
            <w:pPr>
              <w:spacing w:line="256" w:lineRule="auto"/>
              <w:jc w:val="center"/>
              <w:rPr>
                <w:rFonts w:ascii="Calibri" w:hAnsi="Calibri" w:cs="Calibri"/>
                <w:color w:val="000000"/>
                <w:sz w:val="18"/>
                <w:szCs w:val="18"/>
              </w:rPr>
            </w:pPr>
            <w:r>
              <w:rPr>
                <w:rFonts w:ascii="Calibri" w:hAnsi="Calibri" w:cs="Calibri"/>
                <w:color w:val="000000"/>
                <w:sz w:val="18"/>
                <w:szCs w:val="18"/>
              </w:rPr>
              <w:t>6.64</w:t>
            </w:r>
          </w:p>
        </w:tc>
        <w:tc>
          <w:tcPr>
            <w:tcW w:w="997" w:type="dxa"/>
            <w:tcBorders>
              <w:top w:val="single" w:sz="8" w:space="0" w:color="auto"/>
              <w:left w:val="single" w:sz="8" w:space="0" w:color="auto"/>
              <w:bottom w:val="single" w:sz="8" w:space="0" w:color="auto"/>
              <w:right w:val="single" w:sz="8" w:space="0" w:color="auto"/>
            </w:tcBorders>
            <w:vAlign w:val="center"/>
            <w:hideMark/>
          </w:tcPr>
          <w:p w14:paraId="14F4D1BB" w14:textId="77777777" w:rsidR="00B6591A" w:rsidRDefault="00B6591A">
            <w:pPr>
              <w:spacing w:line="256" w:lineRule="auto"/>
              <w:jc w:val="center"/>
              <w:rPr>
                <w:rFonts w:ascii="Calibri" w:hAnsi="Calibri" w:cs="Calibri"/>
                <w:color w:val="000000"/>
                <w:sz w:val="18"/>
                <w:szCs w:val="18"/>
              </w:rPr>
            </w:pPr>
            <w:r>
              <w:rPr>
                <w:rFonts w:ascii="Calibri" w:hAnsi="Calibri" w:cs="Calibri"/>
                <w:color w:val="000000"/>
                <w:sz w:val="18"/>
                <w:szCs w:val="18"/>
              </w:rPr>
              <w:t>15</w:t>
            </w:r>
          </w:p>
        </w:tc>
      </w:tr>
      <w:tr w:rsidR="00B6591A" w14:paraId="1EDB4D5F" w14:textId="77777777" w:rsidTr="00B6591A">
        <w:trPr>
          <w:trHeight w:val="663"/>
        </w:trPr>
        <w:tc>
          <w:tcPr>
            <w:tcW w:w="472" w:type="dxa"/>
            <w:tcBorders>
              <w:top w:val="single" w:sz="8" w:space="0" w:color="auto"/>
              <w:left w:val="single" w:sz="8" w:space="0" w:color="auto"/>
              <w:bottom w:val="single" w:sz="8" w:space="0" w:color="auto"/>
              <w:right w:val="single" w:sz="8" w:space="0" w:color="auto"/>
            </w:tcBorders>
            <w:noWrap/>
            <w:vAlign w:val="center"/>
            <w:hideMark/>
          </w:tcPr>
          <w:p w14:paraId="27640A7D" w14:textId="77777777" w:rsidR="00B6591A" w:rsidRDefault="00B6591A">
            <w:pPr>
              <w:spacing w:line="256" w:lineRule="auto"/>
              <w:jc w:val="right"/>
              <w:rPr>
                <w:color w:val="000000"/>
                <w:sz w:val="16"/>
                <w:szCs w:val="16"/>
              </w:rPr>
            </w:pPr>
            <w:r>
              <w:rPr>
                <w:color w:val="000000"/>
                <w:sz w:val="16"/>
                <w:szCs w:val="16"/>
              </w:rPr>
              <w:t>13</w:t>
            </w:r>
          </w:p>
        </w:tc>
        <w:tc>
          <w:tcPr>
            <w:tcW w:w="1137" w:type="dxa"/>
            <w:tcBorders>
              <w:top w:val="single" w:sz="8" w:space="0" w:color="auto"/>
              <w:left w:val="single" w:sz="8" w:space="0" w:color="auto"/>
              <w:bottom w:val="single" w:sz="8" w:space="0" w:color="auto"/>
              <w:right w:val="single" w:sz="8" w:space="0" w:color="auto"/>
            </w:tcBorders>
            <w:noWrap/>
            <w:vAlign w:val="center"/>
            <w:hideMark/>
          </w:tcPr>
          <w:p w14:paraId="43F327AA" w14:textId="77777777" w:rsidR="00B6591A" w:rsidRDefault="00B6591A">
            <w:pPr>
              <w:spacing w:line="256" w:lineRule="auto"/>
              <w:rPr>
                <w:color w:val="000000"/>
                <w:sz w:val="16"/>
                <w:szCs w:val="16"/>
              </w:rPr>
            </w:pPr>
            <w:r>
              <w:rPr>
                <w:color w:val="000000"/>
                <w:sz w:val="16"/>
                <w:szCs w:val="16"/>
              </w:rPr>
              <w:t>#3A-2s- O1-1a</w:t>
            </w:r>
          </w:p>
        </w:tc>
        <w:tc>
          <w:tcPr>
            <w:tcW w:w="4707" w:type="dxa"/>
            <w:tcBorders>
              <w:top w:val="single" w:sz="8" w:space="0" w:color="auto"/>
              <w:left w:val="single" w:sz="8" w:space="0" w:color="auto"/>
              <w:bottom w:val="single" w:sz="8" w:space="0" w:color="auto"/>
              <w:right w:val="single" w:sz="8" w:space="0" w:color="auto"/>
            </w:tcBorders>
            <w:vAlign w:val="center"/>
            <w:hideMark/>
          </w:tcPr>
          <w:p w14:paraId="62457ED2" w14:textId="77777777" w:rsidR="00B6591A" w:rsidRDefault="00B6591A">
            <w:pPr>
              <w:spacing w:line="256" w:lineRule="auto"/>
              <w:rPr>
                <w:color w:val="000000"/>
                <w:sz w:val="16"/>
                <w:szCs w:val="16"/>
              </w:rPr>
            </w:pPr>
            <w:r>
              <w:rPr>
                <w:color w:val="000000"/>
                <w:sz w:val="16"/>
                <w:szCs w:val="16"/>
              </w:rPr>
              <w:t>2sym CS/SS in s1+s2, legacy RE mapping, legacy Rx processing for PDCCH DMRS REs and legacy CE, PDCCH REs overlapping with CRS punctured/nulled by Rx.</w:t>
            </w:r>
          </w:p>
          <w:p w14:paraId="1F1F24DE" w14:textId="77777777" w:rsidR="00B6591A" w:rsidRDefault="00B6591A">
            <w:pPr>
              <w:spacing w:line="256" w:lineRule="auto"/>
              <w:rPr>
                <w:color w:val="000000"/>
                <w:sz w:val="16"/>
                <w:szCs w:val="16"/>
              </w:rPr>
            </w:pPr>
            <w:r>
              <w:rPr>
                <w:color w:val="000000"/>
                <w:sz w:val="16"/>
                <w:szCs w:val="16"/>
              </w:rPr>
              <w:t>More details in Observation 8, section 2.3.3</w:t>
            </w:r>
          </w:p>
        </w:tc>
        <w:tc>
          <w:tcPr>
            <w:tcW w:w="970" w:type="dxa"/>
            <w:tcBorders>
              <w:top w:val="single" w:sz="8" w:space="0" w:color="auto"/>
              <w:left w:val="single" w:sz="8" w:space="0" w:color="auto"/>
              <w:bottom w:val="single" w:sz="8" w:space="0" w:color="auto"/>
              <w:right w:val="single" w:sz="8" w:space="0" w:color="auto"/>
            </w:tcBorders>
            <w:noWrap/>
            <w:vAlign w:val="center"/>
            <w:hideMark/>
          </w:tcPr>
          <w:p w14:paraId="08D625AE" w14:textId="77777777" w:rsidR="00B6591A" w:rsidRDefault="00B6591A">
            <w:pPr>
              <w:spacing w:line="256" w:lineRule="auto"/>
              <w:jc w:val="center"/>
              <w:rPr>
                <w:color w:val="000000"/>
                <w:sz w:val="16"/>
                <w:szCs w:val="16"/>
              </w:rPr>
            </w:pPr>
            <w:r>
              <w:rPr>
                <w:color w:val="000000"/>
                <w:sz w:val="16"/>
                <w:szCs w:val="16"/>
              </w:rPr>
              <w:t>5.8</w:t>
            </w:r>
          </w:p>
        </w:tc>
        <w:tc>
          <w:tcPr>
            <w:tcW w:w="994" w:type="dxa"/>
            <w:tcBorders>
              <w:top w:val="single" w:sz="8" w:space="0" w:color="auto"/>
              <w:left w:val="single" w:sz="8" w:space="0" w:color="auto"/>
              <w:bottom w:val="single" w:sz="8" w:space="0" w:color="auto"/>
              <w:right w:val="single" w:sz="8" w:space="0" w:color="auto"/>
            </w:tcBorders>
            <w:vAlign w:val="center"/>
            <w:hideMark/>
          </w:tcPr>
          <w:p w14:paraId="1A702D33" w14:textId="77777777" w:rsidR="00B6591A" w:rsidRDefault="00B6591A">
            <w:pPr>
              <w:spacing w:line="256" w:lineRule="auto"/>
              <w:jc w:val="center"/>
              <w:rPr>
                <w:rFonts w:ascii="Calibri" w:hAnsi="Calibri" w:cs="Calibri"/>
                <w:color w:val="000000"/>
                <w:sz w:val="18"/>
                <w:szCs w:val="18"/>
              </w:rPr>
            </w:pPr>
            <w:r>
              <w:rPr>
                <w:rFonts w:ascii="Calibri" w:hAnsi="Calibri" w:cs="Calibri"/>
                <w:color w:val="000000"/>
                <w:sz w:val="18"/>
                <w:szCs w:val="18"/>
              </w:rPr>
              <w:t>7.21</w:t>
            </w:r>
          </w:p>
        </w:tc>
        <w:tc>
          <w:tcPr>
            <w:tcW w:w="997" w:type="dxa"/>
            <w:tcBorders>
              <w:top w:val="single" w:sz="8" w:space="0" w:color="auto"/>
              <w:left w:val="single" w:sz="8" w:space="0" w:color="auto"/>
              <w:bottom w:val="single" w:sz="8" w:space="0" w:color="auto"/>
              <w:right w:val="single" w:sz="8" w:space="0" w:color="auto"/>
            </w:tcBorders>
            <w:vAlign w:val="center"/>
            <w:hideMark/>
          </w:tcPr>
          <w:p w14:paraId="5C82BEB7" w14:textId="77777777" w:rsidR="00B6591A" w:rsidRDefault="00B6591A">
            <w:pPr>
              <w:spacing w:line="256" w:lineRule="auto"/>
              <w:jc w:val="center"/>
              <w:rPr>
                <w:rFonts w:ascii="Calibri" w:hAnsi="Calibri" w:cs="Calibri"/>
                <w:color w:val="000000"/>
                <w:sz w:val="18"/>
                <w:szCs w:val="18"/>
              </w:rPr>
            </w:pPr>
            <w:r>
              <w:rPr>
                <w:rFonts w:ascii="Calibri" w:hAnsi="Calibri" w:cs="Calibri"/>
                <w:color w:val="000000"/>
                <w:sz w:val="18"/>
                <w:szCs w:val="18"/>
              </w:rPr>
              <w:t>24</w:t>
            </w:r>
          </w:p>
        </w:tc>
      </w:tr>
      <w:tr w:rsidR="00B6591A" w14:paraId="29F1852A" w14:textId="77777777" w:rsidTr="00B6591A">
        <w:trPr>
          <w:trHeight w:val="663"/>
        </w:trPr>
        <w:tc>
          <w:tcPr>
            <w:tcW w:w="472" w:type="dxa"/>
            <w:tcBorders>
              <w:top w:val="single" w:sz="8" w:space="0" w:color="auto"/>
              <w:left w:val="single" w:sz="8" w:space="0" w:color="auto"/>
              <w:bottom w:val="single" w:sz="8" w:space="0" w:color="auto"/>
              <w:right w:val="single" w:sz="8" w:space="0" w:color="auto"/>
            </w:tcBorders>
            <w:noWrap/>
            <w:vAlign w:val="center"/>
            <w:hideMark/>
          </w:tcPr>
          <w:p w14:paraId="5E33F5A6" w14:textId="77777777" w:rsidR="00B6591A" w:rsidRDefault="00B6591A">
            <w:pPr>
              <w:spacing w:line="256" w:lineRule="auto"/>
              <w:jc w:val="right"/>
              <w:rPr>
                <w:color w:val="000000"/>
                <w:sz w:val="16"/>
                <w:szCs w:val="16"/>
              </w:rPr>
            </w:pPr>
            <w:r>
              <w:rPr>
                <w:color w:val="000000"/>
                <w:sz w:val="16"/>
                <w:szCs w:val="16"/>
              </w:rPr>
              <w:t>14</w:t>
            </w:r>
          </w:p>
        </w:tc>
        <w:tc>
          <w:tcPr>
            <w:tcW w:w="1137" w:type="dxa"/>
            <w:tcBorders>
              <w:top w:val="single" w:sz="8" w:space="0" w:color="auto"/>
              <w:left w:val="single" w:sz="8" w:space="0" w:color="auto"/>
              <w:bottom w:val="single" w:sz="8" w:space="0" w:color="auto"/>
              <w:right w:val="single" w:sz="8" w:space="0" w:color="auto"/>
            </w:tcBorders>
            <w:noWrap/>
            <w:vAlign w:val="center"/>
            <w:hideMark/>
          </w:tcPr>
          <w:p w14:paraId="0A63CDBB" w14:textId="77777777" w:rsidR="00B6591A" w:rsidRDefault="00B6591A">
            <w:pPr>
              <w:spacing w:line="256" w:lineRule="auto"/>
              <w:rPr>
                <w:color w:val="000000"/>
                <w:sz w:val="16"/>
                <w:szCs w:val="16"/>
              </w:rPr>
            </w:pPr>
            <w:r>
              <w:rPr>
                <w:color w:val="000000"/>
                <w:sz w:val="16"/>
                <w:szCs w:val="16"/>
              </w:rPr>
              <w:t>#3A-2s- O1-1b</w:t>
            </w:r>
          </w:p>
        </w:tc>
        <w:tc>
          <w:tcPr>
            <w:tcW w:w="4707" w:type="dxa"/>
            <w:tcBorders>
              <w:top w:val="single" w:sz="8" w:space="0" w:color="auto"/>
              <w:left w:val="single" w:sz="8" w:space="0" w:color="auto"/>
              <w:bottom w:val="single" w:sz="8" w:space="0" w:color="auto"/>
              <w:right w:val="single" w:sz="8" w:space="0" w:color="auto"/>
            </w:tcBorders>
            <w:vAlign w:val="center"/>
            <w:hideMark/>
          </w:tcPr>
          <w:p w14:paraId="31D82C0B" w14:textId="77777777" w:rsidR="00B6591A" w:rsidRDefault="00B6591A">
            <w:pPr>
              <w:spacing w:line="256" w:lineRule="auto"/>
              <w:rPr>
                <w:color w:val="000000"/>
                <w:sz w:val="16"/>
                <w:szCs w:val="16"/>
              </w:rPr>
            </w:pPr>
            <w:r>
              <w:rPr>
                <w:color w:val="000000"/>
                <w:sz w:val="16"/>
                <w:szCs w:val="16"/>
              </w:rPr>
              <w:t>2sym CS/SS in s1+s2, legacy RE mapping, Rx only uses for PDCCH DMRS REs in s2 and legacy CE, PDCCH REs overlapping with CRS punctured/nulled by Rx.</w:t>
            </w:r>
          </w:p>
          <w:p w14:paraId="4D1E62CF" w14:textId="77777777" w:rsidR="00B6591A" w:rsidRDefault="00B6591A">
            <w:pPr>
              <w:spacing w:line="256" w:lineRule="auto"/>
              <w:rPr>
                <w:color w:val="000000"/>
                <w:sz w:val="16"/>
                <w:szCs w:val="16"/>
              </w:rPr>
            </w:pPr>
            <w:r>
              <w:rPr>
                <w:color w:val="000000"/>
                <w:sz w:val="16"/>
                <w:szCs w:val="16"/>
              </w:rPr>
              <w:t>More details in Observation 8, section 2.3.3</w:t>
            </w:r>
          </w:p>
        </w:tc>
        <w:tc>
          <w:tcPr>
            <w:tcW w:w="970" w:type="dxa"/>
            <w:tcBorders>
              <w:top w:val="single" w:sz="8" w:space="0" w:color="auto"/>
              <w:left w:val="single" w:sz="8" w:space="0" w:color="auto"/>
              <w:bottom w:val="single" w:sz="8" w:space="0" w:color="auto"/>
              <w:right w:val="single" w:sz="8" w:space="0" w:color="auto"/>
            </w:tcBorders>
            <w:noWrap/>
            <w:vAlign w:val="center"/>
            <w:hideMark/>
          </w:tcPr>
          <w:p w14:paraId="21C17D9C" w14:textId="77777777" w:rsidR="00B6591A" w:rsidRDefault="00B6591A">
            <w:pPr>
              <w:spacing w:line="256" w:lineRule="auto"/>
              <w:jc w:val="center"/>
              <w:rPr>
                <w:color w:val="000000"/>
                <w:sz w:val="16"/>
                <w:szCs w:val="16"/>
              </w:rPr>
            </w:pPr>
            <w:r>
              <w:rPr>
                <w:color w:val="000000"/>
                <w:sz w:val="16"/>
                <w:szCs w:val="16"/>
              </w:rPr>
              <w:t>5.8</w:t>
            </w:r>
          </w:p>
        </w:tc>
        <w:tc>
          <w:tcPr>
            <w:tcW w:w="994" w:type="dxa"/>
            <w:tcBorders>
              <w:top w:val="single" w:sz="8" w:space="0" w:color="auto"/>
              <w:left w:val="single" w:sz="8" w:space="0" w:color="auto"/>
              <w:bottom w:val="single" w:sz="8" w:space="0" w:color="auto"/>
              <w:right w:val="single" w:sz="8" w:space="0" w:color="auto"/>
            </w:tcBorders>
            <w:vAlign w:val="center"/>
            <w:hideMark/>
          </w:tcPr>
          <w:p w14:paraId="16FC9E6B" w14:textId="77777777" w:rsidR="00B6591A" w:rsidRDefault="00B6591A">
            <w:pPr>
              <w:spacing w:line="256" w:lineRule="auto"/>
              <w:jc w:val="center"/>
              <w:rPr>
                <w:rFonts w:ascii="Calibri" w:hAnsi="Calibri" w:cs="Calibri"/>
                <w:color w:val="000000"/>
                <w:sz w:val="18"/>
                <w:szCs w:val="18"/>
              </w:rPr>
            </w:pPr>
            <w:r>
              <w:rPr>
                <w:rFonts w:ascii="Calibri" w:hAnsi="Calibri" w:cs="Calibri"/>
                <w:color w:val="000000"/>
                <w:sz w:val="18"/>
                <w:szCs w:val="18"/>
              </w:rPr>
              <w:t>6.63</w:t>
            </w:r>
          </w:p>
        </w:tc>
        <w:tc>
          <w:tcPr>
            <w:tcW w:w="997" w:type="dxa"/>
            <w:tcBorders>
              <w:top w:val="single" w:sz="8" w:space="0" w:color="auto"/>
              <w:left w:val="single" w:sz="8" w:space="0" w:color="auto"/>
              <w:bottom w:val="single" w:sz="8" w:space="0" w:color="auto"/>
              <w:right w:val="single" w:sz="8" w:space="0" w:color="auto"/>
            </w:tcBorders>
            <w:vAlign w:val="center"/>
            <w:hideMark/>
          </w:tcPr>
          <w:p w14:paraId="7456330E" w14:textId="77777777" w:rsidR="00B6591A" w:rsidRDefault="00B6591A">
            <w:pPr>
              <w:spacing w:line="256" w:lineRule="auto"/>
              <w:jc w:val="center"/>
              <w:rPr>
                <w:rFonts w:ascii="Calibri" w:hAnsi="Calibri" w:cs="Calibri"/>
                <w:color w:val="000000"/>
                <w:sz w:val="18"/>
                <w:szCs w:val="18"/>
              </w:rPr>
            </w:pPr>
            <w:r>
              <w:rPr>
                <w:rFonts w:ascii="Calibri" w:hAnsi="Calibri" w:cs="Calibri"/>
                <w:color w:val="000000"/>
                <w:sz w:val="18"/>
                <w:szCs w:val="18"/>
              </w:rPr>
              <w:t>14</w:t>
            </w:r>
          </w:p>
        </w:tc>
      </w:tr>
      <w:tr w:rsidR="003F7B0B" w:rsidRPr="003F7B0B" w14:paraId="35ABBD13" w14:textId="77777777" w:rsidTr="00B6591A">
        <w:trPr>
          <w:trHeight w:val="663"/>
        </w:trPr>
        <w:tc>
          <w:tcPr>
            <w:tcW w:w="472" w:type="dxa"/>
            <w:tcBorders>
              <w:top w:val="single" w:sz="8" w:space="0" w:color="auto"/>
              <w:left w:val="single" w:sz="8" w:space="0" w:color="auto"/>
              <w:bottom w:val="single" w:sz="8" w:space="0" w:color="auto"/>
              <w:right w:val="single" w:sz="8" w:space="0" w:color="auto"/>
            </w:tcBorders>
            <w:noWrap/>
            <w:vAlign w:val="center"/>
            <w:hideMark/>
          </w:tcPr>
          <w:p w14:paraId="318E7772" w14:textId="77777777" w:rsidR="00B6591A" w:rsidRPr="003F7B0B" w:rsidRDefault="00B6591A">
            <w:pPr>
              <w:spacing w:line="256" w:lineRule="auto"/>
              <w:jc w:val="right"/>
              <w:rPr>
                <w:color w:val="D9D9D9" w:themeColor="background1" w:themeShade="D9"/>
                <w:sz w:val="16"/>
                <w:szCs w:val="16"/>
              </w:rPr>
            </w:pPr>
            <w:r w:rsidRPr="003F7B0B">
              <w:rPr>
                <w:color w:val="D9D9D9" w:themeColor="background1" w:themeShade="D9"/>
                <w:sz w:val="16"/>
                <w:szCs w:val="16"/>
              </w:rPr>
              <w:t>15</w:t>
            </w:r>
          </w:p>
        </w:tc>
        <w:tc>
          <w:tcPr>
            <w:tcW w:w="1137" w:type="dxa"/>
            <w:tcBorders>
              <w:top w:val="single" w:sz="8" w:space="0" w:color="auto"/>
              <w:left w:val="single" w:sz="8" w:space="0" w:color="auto"/>
              <w:bottom w:val="single" w:sz="8" w:space="0" w:color="auto"/>
              <w:right w:val="single" w:sz="8" w:space="0" w:color="auto"/>
            </w:tcBorders>
            <w:noWrap/>
            <w:vAlign w:val="center"/>
            <w:hideMark/>
          </w:tcPr>
          <w:p w14:paraId="41892C6D" w14:textId="77777777" w:rsidR="00B6591A" w:rsidRPr="003F7B0B" w:rsidRDefault="00B6591A">
            <w:pPr>
              <w:spacing w:line="256" w:lineRule="auto"/>
              <w:rPr>
                <w:color w:val="D9D9D9" w:themeColor="background1" w:themeShade="D9"/>
                <w:sz w:val="16"/>
                <w:szCs w:val="16"/>
              </w:rPr>
            </w:pPr>
            <w:r w:rsidRPr="003F7B0B">
              <w:rPr>
                <w:color w:val="D9D9D9" w:themeColor="background1" w:themeShade="D9"/>
                <w:sz w:val="16"/>
                <w:szCs w:val="16"/>
              </w:rPr>
              <w:t>#3A-2s- O1-2</w:t>
            </w:r>
          </w:p>
        </w:tc>
        <w:tc>
          <w:tcPr>
            <w:tcW w:w="4707" w:type="dxa"/>
            <w:tcBorders>
              <w:top w:val="single" w:sz="8" w:space="0" w:color="auto"/>
              <w:left w:val="single" w:sz="8" w:space="0" w:color="auto"/>
              <w:bottom w:val="single" w:sz="8" w:space="0" w:color="auto"/>
              <w:right w:val="single" w:sz="8" w:space="0" w:color="auto"/>
            </w:tcBorders>
            <w:vAlign w:val="center"/>
            <w:hideMark/>
          </w:tcPr>
          <w:p w14:paraId="467A2D89" w14:textId="77777777" w:rsidR="00B6591A" w:rsidRPr="003F7B0B" w:rsidRDefault="00B6591A">
            <w:pPr>
              <w:spacing w:line="256" w:lineRule="auto"/>
              <w:rPr>
                <w:color w:val="D9D9D9" w:themeColor="background1" w:themeShade="D9"/>
                <w:sz w:val="16"/>
                <w:szCs w:val="16"/>
              </w:rPr>
            </w:pPr>
            <w:r w:rsidRPr="003F7B0B">
              <w:rPr>
                <w:color w:val="D9D9D9" w:themeColor="background1" w:themeShade="D9"/>
                <w:sz w:val="16"/>
                <w:szCs w:val="16"/>
              </w:rPr>
              <w:t>2sym CS/SS in s1+s2, new PDCCH/PDCCH DMRS RE mapping (no PDCCH DMRS on the symbol with LTE CRS), Rx only uses for PDCCH DMRS REs in s2 and legacy CE, PDCCH REs overlapping with CRS punctured/nulled by Rx.</w:t>
            </w:r>
          </w:p>
          <w:p w14:paraId="5831B5BD" w14:textId="77777777" w:rsidR="00B6591A" w:rsidRPr="003F7B0B" w:rsidRDefault="00B6591A">
            <w:pPr>
              <w:spacing w:line="256" w:lineRule="auto"/>
              <w:rPr>
                <w:color w:val="D9D9D9" w:themeColor="background1" w:themeShade="D9"/>
                <w:sz w:val="16"/>
                <w:szCs w:val="16"/>
              </w:rPr>
            </w:pPr>
            <w:r w:rsidRPr="003F7B0B">
              <w:rPr>
                <w:color w:val="D9D9D9" w:themeColor="background1" w:themeShade="D9"/>
                <w:sz w:val="16"/>
                <w:szCs w:val="16"/>
              </w:rPr>
              <w:t>More details in Observation 8, section 2.3.3</w:t>
            </w:r>
          </w:p>
        </w:tc>
        <w:tc>
          <w:tcPr>
            <w:tcW w:w="970" w:type="dxa"/>
            <w:tcBorders>
              <w:top w:val="single" w:sz="8" w:space="0" w:color="auto"/>
              <w:left w:val="single" w:sz="8" w:space="0" w:color="auto"/>
              <w:bottom w:val="single" w:sz="8" w:space="0" w:color="auto"/>
              <w:right w:val="single" w:sz="8" w:space="0" w:color="auto"/>
            </w:tcBorders>
            <w:noWrap/>
            <w:vAlign w:val="center"/>
            <w:hideMark/>
          </w:tcPr>
          <w:p w14:paraId="0615ECC1" w14:textId="77777777" w:rsidR="00B6591A" w:rsidRPr="003F7B0B" w:rsidRDefault="00B6591A">
            <w:pPr>
              <w:spacing w:line="256" w:lineRule="auto"/>
              <w:jc w:val="center"/>
              <w:rPr>
                <w:color w:val="D9D9D9" w:themeColor="background1" w:themeShade="D9"/>
                <w:sz w:val="16"/>
                <w:szCs w:val="16"/>
              </w:rPr>
            </w:pPr>
            <w:r w:rsidRPr="003F7B0B">
              <w:rPr>
                <w:color w:val="D9D9D9" w:themeColor="background1" w:themeShade="D9"/>
                <w:sz w:val="16"/>
                <w:szCs w:val="16"/>
              </w:rPr>
              <w:t>5.8</w:t>
            </w:r>
          </w:p>
        </w:tc>
        <w:tc>
          <w:tcPr>
            <w:tcW w:w="994" w:type="dxa"/>
            <w:tcBorders>
              <w:top w:val="single" w:sz="8" w:space="0" w:color="auto"/>
              <w:left w:val="single" w:sz="8" w:space="0" w:color="auto"/>
              <w:bottom w:val="single" w:sz="8" w:space="0" w:color="auto"/>
              <w:right w:val="single" w:sz="8" w:space="0" w:color="auto"/>
            </w:tcBorders>
            <w:vAlign w:val="center"/>
            <w:hideMark/>
          </w:tcPr>
          <w:p w14:paraId="12285A78" w14:textId="77777777" w:rsidR="00B6591A" w:rsidRPr="003F7B0B" w:rsidRDefault="00B6591A">
            <w:pPr>
              <w:spacing w:line="256" w:lineRule="auto"/>
              <w:jc w:val="center"/>
              <w:rPr>
                <w:rFonts w:ascii="Calibri" w:hAnsi="Calibri" w:cs="Calibri"/>
                <w:color w:val="D9D9D9" w:themeColor="background1" w:themeShade="D9"/>
                <w:sz w:val="18"/>
                <w:szCs w:val="18"/>
              </w:rPr>
            </w:pPr>
            <w:r w:rsidRPr="003F7B0B">
              <w:rPr>
                <w:rFonts w:ascii="Calibri" w:hAnsi="Calibri" w:cs="Calibri"/>
                <w:color w:val="D9D9D9" w:themeColor="background1" w:themeShade="D9"/>
                <w:sz w:val="18"/>
                <w:szCs w:val="18"/>
              </w:rPr>
              <w:t>6.87</w:t>
            </w:r>
          </w:p>
        </w:tc>
        <w:tc>
          <w:tcPr>
            <w:tcW w:w="997" w:type="dxa"/>
            <w:tcBorders>
              <w:top w:val="single" w:sz="8" w:space="0" w:color="auto"/>
              <w:left w:val="single" w:sz="8" w:space="0" w:color="auto"/>
              <w:bottom w:val="single" w:sz="8" w:space="0" w:color="auto"/>
              <w:right w:val="single" w:sz="8" w:space="0" w:color="auto"/>
            </w:tcBorders>
            <w:vAlign w:val="center"/>
            <w:hideMark/>
          </w:tcPr>
          <w:p w14:paraId="31236378" w14:textId="77777777" w:rsidR="00B6591A" w:rsidRPr="003F7B0B" w:rsidRDefault="00B6591A">
            <w:pPr>
              <w:spacing w:line="256" w:lineRule="auto"/>
              <w:jc w:val="center"/>
              <w:rPr>
                <w:rFonts w:ascii="Calibri" w:hAnsi="Calibri" w:cs="Calibri"/>
                <w:color w:val="D9D9D9" w:themeColor="background1" w:themeShade="D9"/>
                <w:sz w:val="18"/>
                <w:szCs w:val="18"/>
              </w:rPr>
            </w:pPr>
            <w:r w:rsidRPr="003F7B0B">
              <w:rPr>
                <w:rFonts w:ascii="Calibri" w:hAnsi="Calibri" w:cs="Calibri"/>
                <w:color w:val="D9D9D9" w:themeColor="background1" w:themeShade="D9"/>
                <w:sz w:val="18"/>
                <w:szCs w:val="18"/>
              </w:rPr>
              <w:t>19</w:t>
            </w:r>
          </w:p>
        </w:tc>
      </w:tr>
      <w:tr w:rsidR="003F7B0B" w:rsidRPr="003F7B0B" w14:paraId="130D6392" w14:textId="77777777" w:rsidTr="00B6591A">
        <w:trPr>
          <w:trHeight w:val="663"/>
        </w:trPr>
        <w:tc>
          <w:tcPr>
            <w:tcW w:w="472" w:type="dxa"/>
            <w:tcBorders>
              <w:top w:val="single" w:sz="8" w:space="0" w:color="auto"/>
              <w:left w:val="single" w:sz="8" w:space="0" w:color="auto"/>
              <w:bottom w:val="single" w:sz="8" w:space="0" w:color="auto"/>
              <w:right w:val="single" w:sz="8" w:space="0" w:color="auto"/>
            </w:tcBorders>
            <w:noWrap/>
            <w:vAlign w:val="center"/>
            <w:hideMark/>
          </w:tcPr>
          <w:p w14:paraId="18814A83" w14:textId="77777777" w:rsidR="00B6591A" w:rsidRPr="003F7B0B" w:rsidRDefault="00B6591A">
            <w:pPr>
              <w:spacing w:line="256" w:lineRule="auto"/>
              <w:jc w:val="right"/>
              <w:rPr>
                <w:color w:val="D9D9D9" w:themeColor="background1" w:themeShade="D9"/>
                <w:sz w:val="16"/>
                <w:szCs w:val="16"/>
              </w:rPr>
            </w:pPr>
            <w:r w:rsidRPr="003F7B0B">
              <w:rPr>
                <w:color w:val="D9D9D9" w:themeColor="background1" w:themeShade="D9"/>
                <w:sz w:val="16"/>
                <w:szCs w:val="16"/>
              </w:rPr>
              <w:t>16</w:t>
            </w:r>
          </w:p>
        </w:tc>
        <w:tc>
          <w:tcPr>
            <w:tcW w:w="1137" w:type="dxa"/>
            <w:tcBorders>
              <w:top w:val="single" w:sz="8" w:space="0" w:color="auto"/>
              <w:left w:val="single" w:sz="8" w:space="0" w:color="auto"/>
              <w:bottom w:val="single" w:sz="8" w:space="0" w:color="auto"/>
              <w:right w:val="single" w:sz="8" w:space="0" w:color="auto"/>
            </w:tcBorders>
            <w:noWrap/>
            <w:vAlign w:val="center"/>
            <w:hideMark/>
          </w:tcPr>
          <w:p w14:paraId="33143771" w14:textId="77777777" w:rsidR="00B6591A" w:rsidRPr="003F7B0B" w:rsidRDefault="00B6591A">
            <w:pPr>
              <w:spacing w:line="256" w:lineRule="auto"/>
              <w:rPr>
                <w:color w:val="D9D9D9" w:themeColor="background1" w:themeShade="D9"/>
                <w:sz w:val="16"/>
                <w:szCs w:val="16"/>
              </w:rPr>
            </w:pPr>
            <w:r w:rsidRPr="003F7B0B">
              <w:rPr>
                <w:color w:val="D9D9D9" w:themeColor="background1" w:themeShade="D9"/>
                <w:sz w:val="16"/>
                <w:szCs w:val="16"/>
              </w:rPr>
              <w:t>#3A-2s- O2b</w:t>
            </w:r>
          </w:p>
        </w:tc>
        <w:tc>
          <w:tcPr>
            <w:tcW w:w="4707" w:type="dxa"/>
            <w:tcBorders>
              <w:top w:val="single" w:sz="8" w:space="0" w:color="auto"/>
              <w:left w:val="single" w:sz="8" w:space="0" w:color="auto"/>
              <w:bottom w:val="single" w:sz="8" w:space="0" w:color="auto"/>
              <w:right w:val="single" w:sz="8" w:space="0" w:color="auto"/>
            </w:tcBorders>
            <w:vAlign w:val="center"/>
            <w:hideMark/>
          </w:tcPr>
          <w:p w14:paraId="299FB834" w14:textId="77777777" w:rsidR="00B6591A" w:rsidRPr="003F7B0B" w:rsidRDefault="00B6591A">
            <w:pPr>
              <w:spacing w:line="256" w:lineRule="auto"/>
              <w:rPr>
                <w:color w:val="D9D9D9" w:themeColor="background1" w:themeShade="D9"/>
                <w:sz w:val="16"/>
                <w:szCs w:val="16"/>
              </w:rPr>
            </w:pPr>
            <w:r w:rsidRPr="003F7B0B">
              <w:rPr>
                <w:color w:val="D9D9D9" w:themeColor="background1" w:themeShade="D9"/>
                <w:sz w:val="16"/>
                <w:szCs w:val="16"/>
              </w:rPr>
              <w:t>2sym CS/SS in s1+s2, legacy RE mapping, PDCCH REs and PDCCH DMRS REs overlapping with CRS punctured/nulled by Rx.</w:t>
            </w:r>
          </w:p>
          <w:p w14:paraId="6F6A67AC" w14:textId="77777777" w:rsidR="00B6591A" w:rsidRPr="003F7B0B" w:rsidRDefault="00B6591A">
            <w:pPr>
              <w:spacing w:line="256" w:lineRule="auto"/>
              <w:rPr>
                <w:color w:val="D9D9D9" w:themeColor="background1" w:themeShade="D9"/>
                <w:sz w:val="16"/>
                <w:szCs w:val="16"/>
              </w:rPr>
            </w:pPr>
            <w:r w:rsidRPr="003F7B0B">
              <w:rPr>
                <w:color w:val="D9D9D9" w:themeColor="background1" w:themeShade="D9"/>
                <w:sz w:val="16"/>
                <w:szCs w:val="16"/>
              </w:rPr>
              <w:t>More details in Observation 8, section 2.3.3</w:t>
            </w:r>
          </w:p>
        </w:tc>
        <w:tc>
          <w:tcPr>
            <w:tcW w:w="970" w:type="dxa"/>
            <w:tcBorders>
              <w:top w:val="single" w:sz="8" w:space="0" w:color="auto"/>
              <w:left w:val="single" w:sz="8" w:space="0" w:color="auto"/>
              <w:bottom w:val="single" w:sz="8" w:space="0" w:color="auto"/>
              <w:right w:val="single" w:sz="8" w:space="0" w:color="auto"/>
            </w:tcBorders>
            <w:noWrap/>
            <w:vAlign w:val="center"/>
            <w:hideMark/>
          </w:tcPr>
          <w:p w14:paraId="601827F2" w14:textId="77777777" w:rsidR="00B6591A" w:rsidRPr="003F7B0B" w:rsidRDefault="00B6591A">
            <w:pPr>
              <w:spacing w:line="256" w:lineRule="auto"/>
              <w:jc w:val="center"/>
              <w:rPr>
                <w:color w:val="D9D9D9" w:themeColor="background1" w:themeShade="D9"/>
                <w:sz w:val="16"/>
                <w:szCs w:val="16"/>
              </w:rPr>
            </w:pPr>
            <w:r w:rsidRPr="003F7B0B">
              <w:rPr>
                <w:color w:val="D9D9D9" w:themeColor="background1" w:themeShade="D9"/>
                <w:sz w:val="16"/>
                <w:szCs w:val="16"/>
              </w:rPr>
              <w:t>5.8</w:t>
            </w:r>
          </w:p>
        </w:tc>
        <w:tc>
          <w:tcPr>
            <w:tcW w:w="994" w:type="dxa"/>
            <w:tcBorders>
              <w:top w:val="single" w:sz="8" w:space="0" w:color="auto"/>
              <w:left w:val="single" w:sz="8" w:space="0" w:color="auto"/>
              <w:bottom w:val="single" w:sz="8" w:space="0" w:color="auto"/>
              <w:right w:val="single" w:sz="8" w:space="0" w:color="auto"/>
            </w:tcBorders>
            <w:vAlign w:val="center"/>
            <w:hideMark/>
          </w:tcPr>
          <w:p w14:paraId="19C14F80" w14:textId="77777777" w:rsidR="00B6591A" w:rsidRPr="003F7B0B" w:rsidRDefault="00B6591A">
            <w:pPr>
              <w:spacing w:line="256" w:lineRule="auto"/>
              <w:jc w:val="center"/>
              <w:rPr>
                <w:rFonts w:ascii="Calibri" w:hAnsi="Calibri" w:cs="Calibri"/>
                <w:color w:val="D9D9D9" w:themeColor="background1" w:themeShade="D9"/>
                <w:sz w:val="18"/>
                <w:szCs w:val="18"/>
              </w:rPr>
            </w:pPr>
            <w:r w:rsidRPr="003F7B0B">
              <w:rPr>
                <w:rFonts w:ascii="Calibri" w:hAnsi="Calibri" w:cs="Calibri"/>
                <w:color w:val="D9D9D9" w:themeColor="background1" w:themeShade="D9"/>
                <w:sz w:val="18"/>
                <w:szCs w:val="18"/>
              </w:rPr>
              <w:t>7.45</w:t>
            </w:r>
          </w:p>
        </w:tc>
        <w:tc>
          <w:tcPr>
            <w:tcW w:w="997" w:type="dxa"/>
            <w:tcBorders>
              <w:top w:val="single" w:sz="8" w:space="0" w:color="auto"/>
              <w:left w:val="single" w:sz="8" w:space="0" w:color="auto"/>
              <w:bottom w:val="single" w:sz="8" w:space="0" w:color="auto"/>
              <w:right w:val="single" w:sz="8" w:space="0" w:color="auto"/>
            </w:tcBorders>
            <w:vAlign w:val="center"/>
            <w:hideMark/>
          </w:tcPr>
          <w:p w14:paraId="28139A26" w14:textId="77777777" w:rsidR="00B6591A" w:rsidRPr="003F7B0B" w:rsidRDefault="00B6591A">
            <w:pPr>
              <w:spacing w:line="256" w:lineRule="auto"/>
              <w:jc w:val="center"/>
              <w:rPr>
                <w:rFonts w:ascii="Calibri" w:hAnsi="Calibri" w:cs="Calibri"/>
                <w:color w:val="D9D9D9" w:themeColor="background1" w:themeShade="D9"/>
                <w:sz w:val="18"/>
                <w:szCs w:val="18"/>
              </w:rPr>
            </w:pPr>
            <w:r w:rsidRPr="003F7B0B">
              <w:rPr>
                <w:rFonts w:ascii="Calibri" w:hAnsi="Calibri" w:cs="Calibri"/>
                <w:color w:val="D9D9D9" w:themeColor="background1" w:themeShade="D9"/>
                <w:sz w:val="18"/>
                <w:szCs w:val="18"/>
              </w:rPr>
              <w:t>29</w:t>
            </w:r>
          </w:p>
        </w:tc>
      </w:tr>
      <w:tr w:rsidR="00B6591A" w14:paraId="186080FF" w14:textId="77777777" w:rsidTr="00B6591A">
        <w:trPr>
          <w:trHeight w:val="663"/>
        </w:trPr>
        <w:tc>
          <w:tcPr>
            <w:tcW w:w="9277" w:type="dxa"/>
            <w:gridSpan w:val="6"/>
            <w:tcBorders>
              <w:top w:val="single" w:sz="8" w:space="0" w:color="auto"/>
              <w:left w:val="single" w:sz="8" w:space="0" w:color="auto"/>
              <w:bottom w:val="single" w:sz="8" w:space="0" w:color="auto"/>
              <w:right w:val="single" w:sz="8" w:space="0" w:color="auto"/>
            </w:tcBorders>
            <w:noWrap/>
            <w:vAlign w:val="center"/>
            <w:hideMark/>
          </w:tcPr>
          <w:p w14:paraId="03B1A19F" w14:textId="77777777" w:rsidR="00B6591A" w:rsidRDefault="00B6591A">
            <w:pPr>
              <w:spacing w:line="256" w:lineRule="auto"/>
              <w:rPr>
                <w:rFonts w:ascii="Calibri" w:hAnsi="Calibri" w:cs="Calibri"/>
                <w:color w:val="000000"/>
                <w:sz w:val="18"/>
                <w:szCs w:val="18"/>
              </w:rPr>
            </w:pPr>
            <w:r>
              <w:rPr>
                <w:rFonts w:ascii="Calibri" w:hAnsi="Calibri" w:cs="Calibri"/>
                <w:color w:val="000000"/>
                <w:sz w:val="18"/>
                <w:szCs w:val="18"/>
              </w:rPr>
              <w:t>Notes:</w:t>
            </w:r>
          </w:p>
          <w:p w14:paraId="50921279" w14:textId="77777777" w:rsidR="00B6591A" w:rsidRDefault="00B6591A">
            <w:pPr>
              <w:spacing w:line="256" w:lineRule="auto"/>
              <w:rPr>
                <w:rFonts w:ascii="Calibri" w:hAnsi="Calibri" w:cs="Calibri"/>
                <w:color w:val="000000"/>
                <w:sz w:val="18"/>
                <w:szCs w:val="18"/>
              </w:rPr>
            </w:pPr>
            <w:r>
              <w:rPr>
                <w:rFonts w:ascii="Calibri" w:hAnsi="Calibri" w:cs="Calibri"/>
                <w:color w:val="000000"/>
                <w:sz w:val="18"/>
                <w:szCs w:val="18"/>
              </w:rPr>
              <w:t>1. 2symbols of NR PDCCH in s2, s3 used as baseline with s0, s1 reserved for LTE PDCCH and remaining 10 symbols for data.</w:t>
            </w:r>
          </w:p>
          <w:p w14:paraId="0EDB9143" w14:textId="77777777" w:rsidR="00B6591A" w:rsidRDefault="00B6591A">
            <w:pPr>
              <w:spacing w:line="256" w:lineRule="auto"/>
              <w:rPr>
                <w:rFonts w:ascii="Calibri" w:hAnsi="Calibri" w:cs="Calibri"/>
                <w:color w:val="000000"/>
                <w:sz w:val="18"/>
                <w:szCs w:val="18"/>
              </w:rPr>
            </w:pPr>
            <w:r>
              <w:rPr>
                <w:rFonts w:ascii="Calibri" w:hAnsi="Calibri" w:cs="Calibri"/>
                <w:color w:val="000000"/>
                <w:sz w:val="18"/>
                <w:szCs w:val="18"/>
              </w:rPr>
              <w:t>2. Details such as coexistence assumptions and fraction of UEs that can support the Rel18 enhancement are provided in the corresponding observation mentioned in the description. CS/SS implies CORESET/Search space</w:t>
            </w:r>
          </w:p>
        </w:tc>
      </w:tr>
    </w:tbl>
    <w:p w14:paraId="49417F51" w14:textId="77777777" w:rsidR="00B6591A" w:rsidRDefault="00B6591A" w:rsidP="00B6591A">
      <w:pPr>
        <w:pStyle w:val="BodyText"/>
      </w:pPr>
    </w:p>
    <w:p w14:paraId="70BE279B" w14:textId="77777777" w:rsidR="00B6591A" w:rsidRDefault="00B6591A" w:rsidP="00B6591A">
      <w:pPr>
        <w:pStyle w:val="Caption"/>
      </w:pPr>
      <w:r>
        <w:t>Table 2.3.0-4. Summary of PDCCH capacity evaluations (Scenario #3)</w:t>
      </w:r>
    </w:p>
    <w:tbl>
      <w:tblPr>
        <w:tblW w:w="9277" w:type="dxa"/>
        <w:tblInd w:w="-10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72"/>
        <w:gridCol w:w="1137"/>
        <w:gridCol w:w="4707"/>
        <w:gridCol w:w="970"/>
        <w:gridCol w:w="994"/>
        <w:gridCol w:w="997"/>
      </w:tblGrid>
      <w:tr w:rsidR="00B6591A" w14:paraId="466F60CA" w14:textId="77777777" w:rsidTr="00B6591A">
        <w:trPr>
          <w:trHeight w:val="286"/>
        </w:trPr>
        <w:tc>
          <w:tcPr>
            <w:tcW w:w="472" w:type="dxa"/>
            <w:vMerge w:val="restart"/>
            <w:tcBorders>
              <w:top w:val="single" w:sz="8" w:space="0" w:color="auto"/>
              <w:left w:val="single" w:sz="8" w:space="0" w:color="auto"/>
              <w:bottom w:val="single" w:sz="8" w:space="0" w:color="auto"/>
              <w:right w:val="single" w:sz="8" w:space="0" w:color="auto"/>
            </w:tcBorders>
            <w:noWrap/>
            <w:vAlign w:val="center"/>
            <w:hideMark/>
          </w:tcPr>
          <w:p w14:paraId="4A0255B3" w14:textId="77777777" w:rsidR="00B6591A" w:rsidRDefault="00B6591A">
            <w:pPr>
              <w:spacing w:line="256" w:lineRule="auto"/>
              <w:jc w:val="center"/>
              <w:rPr>
                <w:color w:val="000000"/>
                <w:szCs w:val="20"/>
              </w:rPr>
            </w:pPr>
            <w:r>
              <w:rPr>
                <w:color w:val="000000"/>
                <w:szCs w:val="20"/>
              </w:rPr>
              <w:t> </w:t>
            </w:r>
          </w:p>
        </w:tc>
        <w:tc>
          <w:tcPr>
            <w:tcW w:w="1137" w:type="dxa"/>
            <w:vMerge w:val="restart"/>
            <w:tcBorders>
              <w:top w:val="single" w:sz="8" w:space="0" w:color="auto"/>
              <w:left w:val="single" w:sz="8" w:space="0" w:color="auto"/>
              <w:bottom w:val="single" w:sz="8" w:space="0" w:color="auto"/>
              <w:right w:val="single" w:sz="8" w:space="0" w:color="auto"/>
            </w:tcBorders>
            <w:noWrap/>
            <w:vAlign w:val="center"/>
            <w:hideMark/>
          </w:tcPr>
          <w:p w14:paraId="569E9F8C" w14:textId="77777777" w:rsidR="00B6591A" w:rsidRDefault="00B6591A">
            <w:pPr>
              <w:spacing w:line="256" w:lineRule="auto"/>
              <w:jc w:val="center"/>
              <w:rPr>
                <w:color w:val="000000"/>
                <w:szCs w:val="20"/>
              </w:rPr>
            </w:pPr>
            <w:r>
              <w:rPr>
                <w:color w:val="000000"/>
                <w:szCs w:val="20"/>
              </w:rPr>
              <w:t>Evaluated case</w:t>
            </w:r>
          </w:p>
        </w:tc>
        <w:tc>
          <w:tcPr>
            <w:tcW w:w="4707" w:type="dxa"/>
            <w:vMerge w:val="restart"/>
            <w:tcBorders>
              <w:top w:val="single" w:sz="8" w:space="0" w:color="auto"/>
              <w:left w:val="single" w:sz="8" w:space="0" w:color="auto"/>
              <w:bottom w:val="single" w:sz="8" w:space="0" w:color="auto"/>
              <w:right w:val="single" w:sz="8" w:space="0" w:color="auto"/>
            </w:tcBorders>
            <w:noWrap/>
            <w:vAlign w:val="center"/>
            <w:hideMark/>
          </w:tcPr>
          <w:p w14:paraId="1E5BB0CD" w14:textId="77777777" w:rsidR="00B6591A" w:rsidRDefault="00B6591A">
            <w:pPr>
              <w:spacing w:line="256" w:lineRule="auto"/>
              <w:jc w:val="center"/>
              <w:rPr>
                <w:color w:val="000000"/>
                <w:szCs w:val="20"/>
              </w:rPr>
            </w:pPr>
            <w:r>
              <w:rPr>
                <w:color w:val="000000"/>
                <w:szCs w:val="20"/>
              </w:rPr>
              <w:t>Description</w:t>
            </w:r>
            <w:r>
              <w:rPr>
                <w:color w:val="000000"/>
                <w:szCs w:val="20"/>
                <w:vertAlign w:val="superscript"/>
              </w:rPr>
              <w:t>2</w:t>
            </w:r>
          </w:p>
        </w:tc>
        <w:tc>
          <w:tcPr>
            <w:tcW w:w="2961" w:type="dxa"/>
            <w:gridSpan w:val="3"/>
            <w:tcBorders>
              <w:top w:val="single" w:sz="8" w:space="0" w:color="auto"/>
              <w:left w:val="single" w:sz="8" w:space="0" w:color="auto"/>
              <w:bottom w:val="single" w:sz="8" w:space="0" w:color="auto"/>
              <w:right w:val="single" w:sz="8" w:space="0" w:color="auto"/>
            </w:tcBorders>
            <w:noWrap/>
            <w:vAlign w:val="center"/>
            <w:hideMark/>
          </w:tcPr>
          <w:p w14:paraId="3E9A7460" w14:textId="77777777" w:rsidR="00B6591A" w:rsidRDefault="00B6591A">
            <w:pPr>
              <w:spacing w:line="256" w:lineRule="auto"/>
              <w:jc w:val="center"/>
              <w:rPr>
                <w:color w:val="000000"/>
                <w:szCs w:val="20"/>
              </w:rPr>
            </w:pPr>
            <w:r>
              <w:rPr>
                <w:color w:val="000000"/>
                <w:szCs w:val="20"/>
              </w:rPr>
              <w:t>PDCCH capacity</w:t>
            </w:r>
            <w:r>
              <w:rPr>
                <w:color w:val="000000"/>
                <w:szCs w:val="20"/>
              </w:rPr>
              <w:br/>
              <w:t>(Avg. #DCIs per slot)</w:t>
            </w:r>
          </w:p>
        </w:tc>
      </w:tr>
      <w:tr w:rsidR="00B6591A" w14:paraId="757B4256" w14:textId="77777777" w:rsidTr="00B6591A">
        <w:trPr>
          <w:trHeight w:val="286"/>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9E0FE06" w14:textId="77777777" w:rsidR="00B6591A" w:rsidRDefault="00B6591A">
            <w:pPr>
              <w:spacing w:line="256" w:lineRule="auto"/>
              <w:rPr>
                <w:color w:val="000000"/>
                <w:szCs w:val="20"/>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077E0174" w14:textId="77777777" w:rsidR="00B6591A" w:rsidRDefault="00B6591A">
            <w:pPr>
              <w:spacing w:line="256" w:lineRule="auto"/>
              <w:rPr>
                <w:color w:val="000000"/>
                <w:szCs w:val="20"/>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080A6762" w14:textId="77777777" w:rsidR="00B6591A" w:rsidRDefault="00B6591A">
            <w:pPr>
              <w:spacing w:line="256" w:lineRule="auto"/>
              <w:rPr>
                <w:color w:val="000000"/>
                <w:szCs w:val="20"/>
              </w:rPr>
            </w:pPr>
          </w:p>
        </w:tc>
        <w:tc>
          <w:tcPr>
            <w:tcW w:w="970" w:type="dxa"/>
            <w:tcBorders>
              <w:top w:val="single" w:sz="8" w:space="0" w:color="auto"/>
              <w:left w:val="single" w:sz="8" w:space="0" w:color="auto"/>
              <w:bottom w:val="single" w:sz="8" w:space="0" w:color="auto"/>
              <w:right w:val="single" w:sz="8" w:space="0" w:color="auto"/>
            </w:tcBorders>
            <w:noWrap/>
            <w:vAlign w:val="bottom"/>
            <w:hideMark/>
          </w:tcPr>
          <w:p w14:paraId="122CBC79" w14:textId="77777777" w:rsidR="00B6591A" w:rsidRDefault="00B6591A">
            <w:pPr>
              <w:spacing w:line="256" w:lineRule="auto"/>
              <w:rPr>
                <w:color w:val="000000"/>
                <w:szCs w:val="20"/>
              </w:rPr>
            </w:pPr>
            <w:r>
              <w:rPr>
                <w:color w:val="000000"/>
                <w:szCs w:val="20"/>
              </w:rPr>
              <w:t>Baseline</w:t>
            </w:r>
            <w:r>
              <w:rPr>
                <w:color w:val="000000"/>
                <w:szCs w:val="20"/>
                <w:vertAlign w:val="superscript"/>
              </w:rPr>
              <w:t>1</w:t>
            </w:r>
          </w:p>
        </w:tc>
        <w:tc>
          <w:tcPr>
            <w:tcW w:w="994" w:type="dxa"/>
            <w:tcBorders>
              <w:top w:val="single" w:sz="8" w:space="0" w:color="auto"/>
              <w:left w:val="single" w:sz="8" w:space="0" w:color="auto"/>
              <w:bottom w:val="single" w:sz="8" w:space="0" w:color="auto"/>
              <w:right w:val="single" w:sz="8" w:space="0" w:color="auto"/>
            </w:tcBorders>
            <w:noWrap/>
            <w:vAlign w:val="bottom"/>
            <w:hideMark/>
          </w:tcPr>
          <w:p w14:paraId="59472554" w14:textId="77777777" w:rsidR="00B6591A" w:rsidRDefault="00B6591A">
            <w:pPr>
              <w:spacing w:line="256" w:lineRule="auto"/>
              <w:rPr>
                <w:color w:val="000000"/>
                <w:szCs w:val="20"/>
              </w:rPr>
            </w:pPr>
            <w:r>
              <w:rPr>
                <w:color w:val="000000"/>
                <w:szCs w:val="20"/>
              </w:rPr>
              <w:t xml:space="preserve">R18 </w:t>
            </w:r>
            <w:proofErr w:type="spellStart"/>
            <w:r>
              <w:rPr>
                <w:color w:val="000000"/>
                <w:szCs w:val="20"/>
              </w:rPr>
              <w:t>enh</w:t>
            </w:r>
            <w:proofErr w:type="spellEnd"/>
            <w:r>
              <w:rPr>
                <w:color w:val="000000"/>
                <w:szCs w:val="20"/>
              </w:rPr>
              <w:t>.</w:t>
            </w:r>
          </w:p>
        </w:tc>
        <w:tc>
          <w:tcPr>
            <w:tcW w:w="997" w:type="dxa"/>
            <w:tcBorders>
              <w:top w:val="single" w:sz="8" w:space="0" w:color="auto"/>
              <w:left w:val="single" w:sz="8" w:space="0" w:color="auto"/>
              <w:bottom w:val="single" w:sz="8" w:space="0" w:color="auto"/>
              <w:right w:val="single" w:sz="8" w:space="0" w:color="auto"/>
            </w:tcBorders>
            <w:noWrap/>
            <w:vAlign w:val="bottom"/>
            <w:hideMark/>
          </w:tcPr>
          <w:p w14:paraId="196FEA46" w14:textId="77777777" w:rsidR="00B6591A" w:rsidRDefault="00B6591A">
            <w:pPr>
              <w:spacing w:line="256" w:lineRule="auto"/>
              <w:rPr>
                <w:color w:val="000000"/>
                <w:szCs w:val="20"/>
              </w:rPr>
            </w:pPr>
            <w:r>
              <w:rPr>
                <w:color w:val="000000"/>
                <w:szCs w:val="20"/>
              </w:rPr>
              <w:t>Gain (%)</w:t>
            </w:r>
          </w:p>
        </w:tc>
      </w:tr>
      <w:tr w:rsidR="00B6591A" w14:paraId="2C54EAFB" w14:textId="77777777" w:rsidTr="00B6591A">
        <w:trPr>
          <w:trHeight w:val="663"/>
        </w:trPr>
        <w:tc>
          <w:tcPr>
            <w:tcW w:w="472" w:type="dxa"/>
            <w:tcBorders>
              <w:top w:val="single" w:sz="8" w:space="0" w:color="auto"/>
              <w:left w:val="single" w:sz="8" w:space="0" w:color="auto"/>
              <w:bottom w:val="single" w:sz="8" w:space="0" w:color="auto"/>
              <w:right w:val="single" w:sz="8" w:space="0" w:color="auto"/>
            </w:tcBorders>
            <w:noWrap/>
            <w:vAlign w:val="center"/>
            <w:hideMark/>
          </w:tcPr>
          <w:p w14:paraId="14ACE551" w14:textId="77777777" w:rsidR="00B6591A" w:rsidRDefault="00B6591A">
            <w:pPr>
              <w:spacing w:line="256" w:lineRule="auto"/>
              <w:jc w:val="right"/>
              <w:rPr>
                <w:color w:val="000000"/>
                <w:sz w:val="16"/>
                <w:szCs w:val="16"/>
              </w:rPr>
            </w:pPr>
            <w:r>
              <w:rPr>
                <w:color w:val="000000"/>
                <w:sz w:val="16"/>
                <w:szCs w:val="16"/>
              </w:rPr>
              <w:t>17</w:t>
            </w:r>
          </w:p>
        </w:tc>
        <w:tc>
          <w:tcPr>
            <w:tcW w:w="1137" w:type="dxa"/>
            <w:tcBorders>
              <w:top w:val="single" w:sz="8" w:space="0" w:color="auto"/>
              <w:left w:val="single" w:sz="8" w:space="0" w:color="auto"/>
              <w:bottom w:val="single" w:sz="8" w:space="0" w:color="auto"/>
              <w:right w:val="single" w:sz="8" w:space="0" w:color="auto"/>
            </w:tcBorders>
            <w:noWrap/>
            <w:vAlign w:val="center"/>
            <w:hideMark/>
          </w:tcPr>
          <w:p w14:paraId="47E60282" w14:textId="77777777" w:rsidR="00B6591A" w:rsidRDefault="00B6591A">
            <w:pPr>
              <w:spacing w:line="256" w:lineRule="auto"/>
              <w:rPr>
                <w:color w:val="000000"/>
                <w:sz w:val="16"/>
                <w:szCs w:val="16"/>
              </w:rPr>
            </w:pPr>
            <w:r>
              <w:rPr>
                <w:color w:val="000000"/>
                <w:sz w:val="16"/>
                <w:szCs w:val="16"/>
              </w:rPr>
              <w:t>#3-3s- O2</w:t>
            </w:r>
          </w:p>
        </w:tc>
        <w:tc>
          <w:tcPr>
            <w:tcW w:w="4707" w:type="dxa"/>
            <w:tcBorders>
              <w:top w:val="single" w:sz="8" w:space="0" w:color="auto"/>
              <w:left w:val="single" w:sz="8" w:space="0" w:color="auto"/>
              <w:bottom w:val="single" w:sz="8" w:space="0" w:color="auto"/>
              <w:right w:val="single" w:sz="8" w:space="0" w:color="auto"/>
            </w:tcBorders>
            <w:vAlign w:val="center"/>
            <w:hideMark/>
          </w:tcPr>
          <w:p w14:paraId="5DFB03E6" w14:textId="77777777" w:rsidR="00B6591A" w:rsidRDefault="00B6591A">
            <w:pPr>
              <w:spacing w:line="256" w:lineRule="auto"/>
              <w:rPr>
                <w:color w:val="000000"/>
                <w:sz w:val="16"/>
                <w:szCs w:val="16"/>
              </w:rPr>
            </w:pPr>
            <w:r>
              <w:rPr>
                <w:color w:val="000000"/>
                <w:sz w:val="16"/>
                <w:szCs w:val="16"/>
              </w:rPr>
              <w:t>3sym CS/SS in s1+s2+s3, legacy RE mapping, legacy Rx processing for PDCCH REs, PDCCH DMRS REs and legacy CE.</w:t>
            </w:r>
          </w:p>
          <w:p w14:paraId="01D1841F" w14:textId="77777777" w:rsidR="00B6591A" w:rsidRDefault="00B6591A">
            <w:pPr>
              <w:spacing w:line="256" w:lineRule="auto"/>
              <w:rPr>
                <w:color w:val="000000"/>
                <w:sz w:val="16"/>
                <w:szCs w:val="16"/>
              </w:rPr>
            </w:pPr>
            <w:r>
              <w:rPr>
                <w:color w:val="000000"/>
                <w:sz w:val="16"/>
                <w:szCs w:val="16"/>
              </w:rPr>
              <w:t>More details in Observation 9, section 2.3.4</w:t>
            </w:r>
          </w:p>
        </w:tc>
        <w:tc>
          <w:tcPr>
            <w:tcW w:w="970" w:type="dxa"/>
            <w:tcBorders>
              <w:top w:val="single" w:sz="8" w:space="0" w:color="auto"/>
              <w:left w:val="single" w:sz="8" w:space="0" w:color="auto"/>
              <w:bottom w:val="single" w:sz="8" w:space="0" w:color="auto"/>
              <w:right w:val="single" w:sz="8" w:space="0" w:color="auto"/>
            </w:tcBorders>
            <w:noWrap/>
            <w:vAlign w:val="center"/>
            <w:hideMark/>
          </w:tcPr>
          <w:p w14:paraId="5DC64C83" w14:textId="77777777" w:rsidR="00B6591A" w:rsidRDefault="00B6591A">
            <w:pPr>
              <w:spacing w:line="256" w:lineRule="auto"/>
              <w:jc w:val="center"/>
              <w:rPr>
                <w:color w:val="000000"/>
                <w:sz w:val="16"/>
                <w:szCs w:val="16"/>
              </w:rPr>
            </w:pPr>
            <w:r>
              <w:rPr>
                <w:color w:val="000000"/>
                <w:sz w:val="16"/>
                <w:szCs w:val="16"/>
              </w:rPr>
              <w:t>5.8</w:t>
            </w:r>
          </w:p>
        </w:tc>
        <w:tc>
          <w:tcPr>
            <w:tcW w:w="994" w:type="dxa"/>
            <w:tcBorders>
              <w:top w:val="single" w:sz="8" w:space="0" w:color="auto"/>
              <w:left w:val="single" w:sz="8" w:space="0" w:color="auto"/>
              <w:bottom w:val="single" w:sz="8" w:space="0" w:color="auto"/>
              <w:right w:val="single" w:sz="8" w:space="0" w:color="auto"/>
            </w:tcBorders>
            <w:vAlign w:val="center"/>
            <w:hideMark/>
          </w:tcPr>
          <w:p w14:paraId="1B7220BA" w14:textId="77777777" w:rsidR="00B6591A" w:rsidRDefault="00B6591A">
            <w:pPr>
              <w:spacing w:line="256" w:lineRule="auto"/>
              <w:jc w:val="center"/>
              <w:rPr>
                <w:rFonts w:ascii="Calibri" w:hAnsi="Calibri" w:cs="Calibri"/>
                <w:color w:val="000000"/>
                <w:sz w:val="18"/>
                <w:szCs w:val="18"/>
              </w:rPr>
            </w:pPr>
            <w:r>
              <w:rPr>
                <w:rFonts w:ascii="Calibri" w:hAnsi="Calibri" w:cs="Calibri"/>
                <w:color w:val="000000"/>
                <w:sz w:val="18"/>
                <w:szCs w:val="18"/>
              </w:rPr>
              <w:t>6.51</w:t>
            </w:r>
          </w:p>
        </w:tc>
        <w:tc>
          <w:tcPr>
            <w:tcW w:w="997" w:type="dxa"/>
            <w:tcBorders>
              <w:top w:val="single" w:sz="8" w:space="0" w:color="auto"/>
              <w:left w:val="single" w:sz="8" w:space="0" w:color="auto"/>
              <w:bottom w:val="single" w:sz="8" w:space="0" w:color="auto"/>
              <w:right w:val="single" w:sz="8" w:space="0" w:color="auto"/>
            </w:tcBorders>
            <w:vAlign w:val="center"/>
            <w:hideMark/>
          </w:tcPr>
          <w:p w14:paraId="045E2F9A" w14:textId="77777777" w:rsidR="00B6591A" w:rsidRDefault="00B6591A">
            <w:pPr>
              <w:spacing w:line="256" w:lineRule="auto"/>
              <w:jc w:val="center"/>
              <w:rPr>
                <w:rFonts w:ascii="Calibri" w:hAnsi="Calibri" w:cs="Calibri"/>
                <w:color w:val="000000"/>
                <w:sz w:val="18"/>
                <w:szCs w:val="18"/>
              </w:rPr>
            </w:pPr>
            <w:r>
              <w:rPr>
                <w:rFonts w:ascii="Calibri" w:hAnsi="Calibri" w:cs="Calibri"/>
                <w:color w:val="000000"/>
                <w:sz w:val="18"/>
                <w:szCs w:val="18"/>
              </w:rPr>
              <w:t>11.7</w:t>
            </w:r>
          </w:p>
        </w:tc>
      </w:tr>
      <w:tr w:rsidR="00B6591A" w14:paraId="7371A3AA" w14:textId="77777777" w:rsidTr="00B6591A">
        <w:trPr>
          <w:trHeight w:val="663"/>
        </w:trPr>
        <w:tc>
          <w:tcPr>
            <w:tcW w:w="472" w:type="dxa"/>
            <w:tcBorders>
              <w:top w:val="single" w:sz="8" w:space="0" w:color="auto"/>
              <w:left w:val="single" w:sz="8" w:space="0" w:color="auto"/>
              <w:bottom w:val="single" w:sz="8" w:space="0" w:color="auto"/>
              <w:right w:val="single" w:sz="8" w:space="0" w:color="auto"/>
            </w:tcBorders>
            <w:noWrap/>
            <w:vAlign w:val="center"/>
            <w:hideMark/>
          </w:tcPr>
          <w:p w14:paraId="50C77653" w14:textId="77777777" w:rsidR="00B6591A" w:rsidRDefault="00B6591A">
            <w:pPr>
              <w:spacing w:line="256" w:lineRule="auto"/>
              <w:jc w:val="right"/>
              <w:rPr>
                <w:color w:val="000000"/>
                <w:sz w:val="16"/>
                <w:szCs w:val="16"/>
              </w:rPr>
            </w:pPr>
            <w:r>
              <w:rPr>
                <w:color w:val="000000"/>
                <w:sz w:val="16"/>
                <w:szCs w:val="16"/>
              </w:rPr>
              <w:t>18</w:t>
            </w:r>
          </w:p>
        </w:tc>
        <w:tc>
          <w:tcPr>
            <w:tcW w:w="1137" w:type="dxa"/>
            <w:tcBorders>
              <w:top w:val="single" w:sz="8" w:space="0" w:color="auto"/>
              <w:left w:val="single" w:sz="8" w:space="0" w:color="auto"/>
              <w:bottom w:val="single" w:sz="8" w:space="0" w:color="auto"/>
              <w:right w:val="single" w:sz="8" w:space="0" w:color="auto"/>
            </w:tcBorders>
            <w:noWrap/>
            <w:vAlign w:val="center"/>
            <w:hideMark/>
          </w:tcPr>
          <w:p w14:paraId="0F133183" w14:textId="77777777" w:rsidR="00B6591A" w:rsidRDefault="00B6591A">
            <w:pPr>
              <w:spacing w:line="256" w:lineRule="auto"/>
              <w:rPr>
                <w:color w:val="000000"/>
                <w:sz w:val="16"/>
                <w:szCs w:val="16"/>
              </w:rPr>
            </w:pPr>
            <w:r>
              <w:rPr>
                <w:color w:val="000000"/>
                <w:sz w:val="16"/>
                <w:szCs w:val="16"/>
              </w:rPr>
              <w:t>#3-3s- O1-1a</w:t>
            </w:r>
          </w:p>
        </w:tc>
        <w:tc>
          <w:tcPr>
            <w:tcW w:w="4707" w:type="dxa"/>
            <w:tcBorders>
              <w:top w:val="single" w:sz="8" w:space="0" w:color="auto"/>
              <w:left w:val="single" w:sz="8" w:space="0" w:color="auto"/>
              <w:bottom w:val="single" w:sz="8" w:space="0" w:color="auto"/>
              <w:right w:val="single" w:sz="8" w:space="0" w:color="auto"/>
            </w:tcBorders>
            <w:vAlign w:val="center"/>
            <w:hideMark/>
          </w:tcPr>
          <w:p w14:paraId="6E5F1C85" w14:textId="77777777" w:rsidR="00B6591A" w:rsidRDefault="00B6591A">
            <w:pPr>
              <w:spacing w:line="256" w:lineRule="auto"/>
              <w:rPr>
                <w:color w:val="000000"/>
                <w:sz w:val="16"/>
                <w:szCs w:val="16"/>
              </w:rPr>
            </w:pPr>
            <w:r>
              <w:rPr>
                <w:color w:val="000000"/>
                <w:sz w:val="16"/>
                <w:szCs w:val="16"/>
              </w:rPr>
              <w:t>3sym CS/SS in s1+s2+s3, legacy RE mapping, legacy Rx processing for PDCCH DMRS REs and legacy CE, PDCCH REs overlapping with CRS punctured/nulled by Rx.</w:t>
            </w:r>
          </w:p>
          <w:p w14:paraId="51D6016B" w14:textId="77777777" w:rsidR="00B6591A" w:rsidRDefault="00B6591A">
            <w:pPr>
              <w:spacing w:line="256" w:lineRule="auto"/>
              <w:rPr>
                <w:color w:val="000000"/>
                <w:sz w:val="16"/>
                <w:szCs w:val="16"/>
              </w:rPr>
            </w:pPr>
            <w:r>
              <w:rPr>
                <w:color w:val="000000"/>
                <w:sz w:val="16"/>
                <w:szCs w:val="16"/>
              </w:rPr>
              <w:t>More details in Observation 9, section 2.3.4</w:t>
            </w:r>
          </w:p>
        </w:tc>
        <w:tc>
          <w:tcPr>
            <w:tcW w:w="970" w:type="dxa"/>
            <w:tcBorders>
              <w:top w:val="single" w:sz="8" w:space="0" w:color="auto"/>
              <w:left w:val="single" w:sz="8" w:space="0" w:color="auto"/>
              <w:bottom w:val="single" w:sz="8" w:space="0" w:color="auto"/>
              <w:right w:val="single" w:sz="8" w:space="0" w:color="auto"/>
            </w:tcBorders>
            <w:noWrap/>
            <w:vAlign w:val="center"/>
            <w:hideMark/>
          </w:tcPr>
          <w:p w14:paraId="1A013D51" w14:textId="77777777" w:rsidR="00B6591A" w:rsidRDefault="00B6591A">
            <w:pPr>
              <w:spacing w:line="256" w:lineRule="auto"/>
              <w:jc w:val="center"/>
              <w:rPr>
                <w:color w:val="000000"/>
                <w:sz w:val="16"/>
                <w:szCs w:val="16"/>
              </w:rPr>
            </w:pPr>
            <w:r>
              <w:rPr>
                <w:color w:val="000000"/>
                <w:sz w:val="16"/>
                <w:szCs w:val="16"/>
              </w:rPr>
              <w:t>5.8</w:t>
            </w:r>
          </w:p>
        </w:tc>
        <w:tc>
          <w:tcPr>
            <w:tcW w:w="994" w:type="dxa"/>
            <w:tcBorders>
              <w:top w:val="single" w:sz="8" w:space="0" w:color="auto"/>
              <w:left w:val="single" w:sz="8" w:space="0" w:color="auto"/>
              <w:bottom w:val="single" w:sz="8" w:space="0" w:color="auto"/>
              <w:right w:val="single" w:sz="8" w:space="0" w:color="auto"/>
            </w:tcBorders>
            <w:vAlign w:val="center"/>
            <w:hideMark/>
          </w:tcPr>
          <w:p w14:paraId="3C99FEEE" w14:textId="77777777" w:rsidR="00B6591A" w:rsidRDefault="00B6591A">
            <w:pPr>
              <w:spacing w:line="256" w:lineRule="auto"/>
              <w:jc w:val="center"/>
              <w:rPr>
                <w:rFonts w:ascii="Calibri" w:hAnsi="Calibri" w:cs="Calibri"/>
                <w:color w:val="000000"/>
                <w:sz w:val="18"/>
                <w:szCs w:val="18"/>
              </w:rPr>
            </w:pPr>
            <w:r>
              <w:rPr>
                <w:rFonts w:ascii="Calibri" w:hAnsi="Calibri" w:cs="Calibri"/>
                <w:color w:val="000000"/>
                <w:sz w:val="18"/>
                <w:szCs w:val="18"/>
              </w:rPr>
              <w:t>6.972</w:t>
            </w:r>
          </w:p>
        </w:tc>
        <w:tc>
          <w:tcPr>
            <w:tcW w:w="997" w:type="dxa"/>
            <w:tcBorders>
              <w:top w:val="single" w:sz="8" w:space="0" w:color="auto"/>
              <w:left w:val="single" w:sz="8" w:space="0" w:color="auto"/>
              <w:bottom w:val="single" w:sz="8" w:space="0" w:color="auto"/>
              <w:right w:val="single" w:sz="8" w:space="0" w:color="auto"/>
            </w:tcBorders>
            <w:vAlign w:val="center"/>
            <w:hideMark/>
          </w:tcPr>
          <w:p w14:paraId="7AD5B445" w14:textId="77777777" w:rsidR="00B6591A" w:rsidRDefault="00B6591A">
            <w:pPr>
              <w:spacing w:line="256" w:lineRule="auto"/>
              <w:jc w:val="center"/>
              <w:rPr>
                <w:rFonts w:ascii="Calibri" w:hAnsi="Calibri" w:cs="Calibri"/>
                <w:color w:val="000000"/>
                <w:sz w:val="18"/>
                <w:szCs w:val="18"/>
              </w:rPr>
            </w:pPr>
            <w:r>
              <w:rPr>
                <w:rFonts w:ascii="Calibri" w:hAnsi="Calibri" w:cs="Calibri"/>
                <w:color w:val="000000"/>
                <w:sz w:val="18"/>
                <w:szCs w:val="18"/>
              </w:rPr>
              <w:t>19.64</w:t>
            </w:r>
          </w:p>
        </w:tc>
      </w:tr>
      <w:tr w:rsidR="00B6591A" w14:paraId="66EC5A9F" w14:textId="77777777" w:rsidTr="00B6591A">
        <w:trPr>
          <w:trHeight w:val="663"/>
        </w:trPr>
        <w:tc>
          <w:tcPr>
            <w:tcW w:w="472" w:type="dxa"/>
            <w:tcBorders>
              <w:top w:val="single" w:sz="8" w:space="0" w:color="auto"/>
              <w:left w:val="single" w:sz="8" w:space="0" w:color="auto"/>
              <w:bottom w:val="single" w:sz="8" w:space="0" w:color="auto"/>
              <w:right w:val="single" w:sz="8" w:space="0" w:color="auto"/>
            </w:tcBorders>
            <w:noWrap/>
            <w:vAlign w:val="center"/>
            <w:hideMark/>
          </w:tcPr>
          <w:p w14:paraId="69A0A079" w14:textId="77777777" w:rsidR="00B6591A" w:rsidRDefault="00B6591A">
            <w:pPr>
              <w:spacing w:line="256" w:lineRule="auto"/>
              <w:jc w:val="right"/>
              <w:rPr>
                <w:color w:val="000000"/>
                <w:sz w:val="16"/>
                <w:szCs w:val="16"/>
              </w:rPr>
            </w:pPr>
            <w:r>
              <w:rPr>
                <w:color w:val="000000"/>
                <w:sz w:val="16"/>
                <w:szCs w:val="16"/>
              </w:rPr>
              <w:t>19</w:t>
            </w:r>
          </w:p>
        </w:tc>
        <w:tc>
          <w:tcPr>
            <w:tcW w:w="1137" w:type="dxa"/>
            <w:tcBorders>
              <w:top w:val="single" w:sz="8" w:space="0" w:color="auto"/>
              <w:left w:val="single" w:sz="8" w:space="0" w:color="auto"/>
              <w:bottom w:val="single" w:sz="8" w:space="0" w:color="auto"/>
              <w:right w:val="single" w:sz="8" w:space="0" w:color="auto"/>
            </w:tcBorders>
            <w:noWrap/>
            <w:vAlign w:val="center"/>
            <w:hideMark/>
          </w:tcPr>
          <w:p w14:paraId="52393B91" w14:textId="77777777" w:rsidR="00B6591A" w:rsidRDefault="00B6591A">
            <w:pPr>
              <w:spacing w:line="256" w:lineRule="auto"/>
              <w:rPr>
                <w:color w:val="000000"/>
                <w:sz w:val="16"/>
                <w:szCs w:val="16"/>
              </w:rPr>
            </w:pPr>
            <w:r>
              <w:rPr>
                <w:color w:val="000000"/>
                <w:sz w:val="16"/>
                <w:szCs w:val="16"/>
              </w:rPr>
              <w:t>#3-3s- O1-1b</w:t>
            </w:r>
          </w:p>
        </w:tc>
        <w:tc>
          <w:tcPr>
            <w:tcW w:w="4707" w:type="dxa"/>
            <w:tcBorders>
              <w:top w:val="single" w:sz="8" w:space="0" w:color="auto"/>
              <w:left w:val="single" w:sz="8" w:space="0" w:color="auto"/>
              <w:bottom w:val="single" w:sz="8" w:space="0" w:color="auto"/>
              <w:right w:val="single" w:sz="8" w:space="0" w:color="auto"/>
            </w:tcBorders>
            <w:vAlign w:val="center"/>
            <w:hideMark/>
          </w:tcPr>
          <w:p w14:paraId="78AEFBF2" w14:textId="77777777" w:rsidR="00B6591A" w:rsidRDefault="00B6591A">
            <w:pPr>
              <w:spacing w:line="256" w:lineRule="auto"/>
              <w:rPr>
                <w:color w:val="000000"/>
                <w:sz w:val="16"/>
                <w:szCs w:val="16"/>
              </w:rPr>
            </w:pPr>
            <w:r>
              <w:rPr>
                <w:color w:val="000000"/>
                <w:sz w:val="16"/>
                <w:szCs w:val="16"/>
              </w:rPr>
              <w:t>3sym CS/SS in s1+s2+s3, legacy RE mapping, Rx only uses for PDCCH DMRS REs in s2 and legacy CE, PDCCH REs overlapping with CRS punctured/nulled by Rx.</w:t>
            </w:r>
          </w:p>
          <w:p w14:paraId="6C045DAF" w14:textId="77777777" w:rsidR="00B6591A" w:rsidRDefault="00B6591A">
            <w:pPr>
              <w:spacing w:line="256" w:lineRule="auto"/>
              <w:rPr>
                <w:color w:val="000000"/>
                <w:sz w:val="16"/>
                <w:szCs w:val="16"/>
              </w:rPr>
            </w:pPr>
            <w:r>
              <w:rPr>
                <w:color w:val="000000"/>
                <w:sz w:val="16"/>
                <w:szCs w:val="16"/>
              </w:rPr>
              <w:t>More details in Observation 9, section 2.3.4</w:t>
            </w:r>
          </w:p>
        </w:tc>
        <w:tc>
          <w:tcPr>
            <w:tcW w:w="970" w:type="dxa"/>
            <w:tcBorders>
              <w:top w:val="single" w:sz="8" w:space="0" w:color="auto"/>
              <w:left w:val="single" w:sz="8" w:space="0" w:color="auto"/>
              <w:bottom w:val="single" w:sz="8" w:space="0" w:color="auto"/>
              <w:right w:val="single" w:sz="8" w:space="0" w:color="auto"/>
            </w:tcBorders>
            <w:noWrap/>
            <w:vAlign w:val="center"/>
            <w:hideMark/>
          </w:tcPr>
          <w:p w14:paraId="7E8AFCA1" w14:textId="77777777" w:rsidR="00B6591A" w:rsidRDefault="00B6591A">
            <w:pPr>
              <w:spacing w:line="256" w:lineRule="auto"/>
              <w:jc w:val="center"/>
              <w:rPr>
                <w:color w:val="000000"/>
                <w:sz w:val="16"/>
                <w:szCs w:val="16"/>
              </w:rPr>
            </w:pPr>
            <w:r>
              <w:rPr>
                <w:color w:val="000000"/>
                <w:sz w:val="16"/>
                <w:szCs w:val="16"/>
              </w:rPr>
              <w:t>5.8</w:t>
            </w:r>
          </w:p>
        </w:tc>
        <w:tc>
          <w:tcPr>
            <w:tcW w:w="994" w:type="dxa"/>
            <w:tcBorders>
              <w:top w:val="single" w:sz="8" w:space="0" w:color="auto"/>
              <w:left w:val="single" w:sz="8" w:space="0" w:color="auto"/>
              <w:bottom w:val="single" w:sz="8" w:space="0" w:color="auto"/>
              <w:right w:val="single" w:sz="8" w:space="0" w:color="auto"/>
            </w:tcBorders>
            <w:vAlign w:val="center"/>
            <w:hideMark/>
          </w:tcPr>
          <w:p w14:paraId="350AA8A5" w14:textId="77777777" w:rsidR="00B6591A" w:rsidRDefault="00B6591A">
            <w:pPr>
              <w:spacing w:line="256" w:lineRule="auto"/>
              <w:jc w:val="center"/>
              <w:rPr>
                <w:rFonts w:ascii="Calibri" w:hAnsi="Calibri" w:cs="Calibri"/>
                <w:color w:val="000000"/>
                <w:sz w:val="18"/>
                <w:szCs w:val="18"/>
              </w:rPr>
            </w:pPr>
            <w:r>
              <w:rPr>
                <w:rFonts w:ascii="Calibri" w:hAnsi="Calibri" w:cs="Calibri"/>
                <w:color w:val="000000"/>
                <w:sz w:val="18"/>
                <w:szCs w:val="18"/>
              </w:rPr>
              <w:t>6.672</w:t>
            </w:r>
          </w:p>
        </w:tc>
        <w:tc>
          <w:tcPr>
            <w:tcW w:w="997" w:type="dxa"/>
            <w:tcBorders>
              <w:top w:val="single" w:sz="8" w:space="0" w:color="auto"/>
              <w:left w:val="single" w:sz="8" w:space="0" w:color="auto"/>
              <w:bottom w:val="single" w:sz="8" w:space="0" w:color="auto"/>
              <w:right w:val="single" w:sz="8" w:space="0" w:color="auto"/>
            </w:tcBorders>
            <w:vAlign w:val="center"/>
            <w:hideMark/>
          </w:tcPr>
          <w:p w14:paraId="74F49B07" w14:textId="77777777" w:rsidR="00B6591A" w:rsidRDefault="00B6591A">
            <w:pPr>
              <w:spacing w:line="256" w:lineRule="auto"/>
              <w:jc w:val="center"/>
              <w:rPr>
                <w:rFonts w:ascii="Calibri" w:hAnsi="Calibri" w:cs="Calibri"/>
                <w:color w:val="000000"/>
                <w:sz w:val="18"/>
                <w:szCs w:val="18"/>
              </w:rPr>
            </w:pPr>
            <w:r>
              <w:rPr>
                <w:rFonts w:ascii="Calibri" w:hAnsi="Calibri" w:cs="Calibri"/>
                <w:color w:val="000000"/>
                <w:sz w:val="18"/>
                <w:szCs w:val="18"/>
              </w:rPr>
              <w:t>14.48</w:t>
            </w:r>
          </w:p>
        </w:tc>
      </w:tr>
      <w:tr w:rsidR="003F7B0B" w:rsidRPr="003F7B0B" w14:paraId="2F0F28A7" w14:textId="77777777" w:rsidTr="00B6591A">
        <w:trPr>
          <w:trHeight w:val="663"/>
        </w:trPr>
        <w:tc>
          <w:tcPr>
            <w:tcW w:w="472" w:type="dxa"/>
            <w:tcBorders>
              <w:top w:val="single" w:sz="8" w:space="0" w:color="auto"/>
              <w:left w:val="single" w:sz="8" w:space="0" w:color="auto"/>
              <w:bottom w:val="single" w:sz="8" w:space="0" w:color="auto"/>
              <w:right w:val="single" w:sz="8" w:space="0" w:color="auto"/>
            </w:tcBorders>
            <w:noWrap/>
            <w:vAlign w:val="center"/>
            <w:hideMark/>
          </w:tcPr>
          <w:p w14:paraId="145D6200" w14:textId="77777777" w:rsidR="00B6591A" w:rsidRPr="003F7B0B" w:rsidRDefault="00B6591A">
            <w:pPr>
              <w:spacing w:line="256" w:lineRule="auto"/>
              <w:jc w:val="right"/>
              <w:rPr>
                <w:color w:val="D9D9D9" w:themeColor="background1" w:themeShade="D9"/>
                <w:sz w:val="16"/>
                <w:szCs w:val="16"/>
              </w:rPr>
            </w:pPr>
            <w:r w:rsidRPr="003F7B0B">
              <w:rPr>
                <w:color w:val="D9D9D9" w:themeColor="background1" w:themeShade="D9"/>
                <w:sz w:val="16"/>
                <w:szCs w:val="16"/>
              </w:rPr>
              <w:t>20</w:t>
            </w:r>
          </w:p>
        </w:tc>
        <w:tc>
          <w:tcPr>
            <w:tcW w:w="1137" w:type="dxa"/>
            <w:tcBorders>
              <w:top w:val="single" w:sz="8" w:space="0" w:color="auto"/>
              <w:left w:val="single" w:sz="8" w:space="0" w:color="auto"/>
              <w:bottom w:val="single" w:sz="8" w:space="0" w:color="auto"/>
              <w:right w:val="single" w:sz="8" w:space="0" w:color="auto"/>
            </w:tcBorders>
            <w:noWrap/>
            <w:vAlign w:val="center"/>
            <w:hideMark/>
          </w:tcPr>
          <w:p w14:paraId="5D85647A" w14:textId="77777777" w:rsidR="00B6591A" w:rsidRPr="003F7B0B" w:rsidRDefault="00B6591A">
            <w:pPr>
              <w:spacing w:line="256" w:lineRule="auto"/>
              <w:rPr>
                <w:color w:val="D9D9D9" w:themeColor="background1" w:themeShade="D9"/>
                <w:sz w:val="16"/>
                <w:szCs w:val="16"/>
              </w:rPr>
            </w:pPr>
            <w:r w:rsidRPr="003F7B0B">
              <w:rPr>
                <w:color w:val="D9D9D9" w:themeColor="background1" w:themeShade="D9"/>
                <w:sz w:val="16"/>
                <w:szCs w:val="16"/>
              </w:rPr>
              <w:t>#3-3s- O1-2</w:t>
            </w:r>
          </w:p>
        </w:tc>
        <w:tc>
          <w:tcPr>
            <w:tcW w:w="4707" w:type="dxa"/>
            <w:tcBorders>
              <w:top w:val="single" w:sz="8" w:space="0" w:color="auto"/>
              <w:left w:val="single" w:sz="8" w:space="0" w:color="auto"/>
              <w:bottom w:val="single" w:sz="8" w:space="0" w:color="auto"/>
              <w:right w:val="single" w:sz="8" w:space="0" w:color="auto"/>
            </w:tcBorders>
            <w:vAlign w:val="center"/>
            <w:hideMark/>
          </w:tcPr>
          <w:p w14:paraId="616C8B4A" w14:textId="77777777" w:rsidR="00B6591A" w:rsidRPr="003F7B0B" w:rsidRDefault="00B6591A">
            <w:pPr>
              <w:spacing w:line="256" w:lineRule="auto"/>
              <w:rPr>
                <w:color w:val="D9D9D9" w:themeColor="background1" w:themeShade="D9"/>
                <w:sz w:val="16"/>
                <w:szCs w:val="16"/>
              </w:rPr>
            </w:pPr>
            <w:r w:rsidRPr="003F7B0B">
              <w:rPr>
                <w:color w:val="D9D9D9" w:themeColor="background1" w:themeShade="D9"/>
                <w:sz w:val="16"/>
                <w:szCs w:val="16"/>
              </w:rPr>
              <w:t>3sym CS/SS in s1+s2+s3, new PDCCH/PDCCH DMRS RE mapping (no PDCCH DMRS on the symbol with LTE CRS), Rx only uses for PDCCH DMRS REs in s2 and legacy CE, PDCCH REs overlapping with CRS punctured/nulled by Rx.</w:t>
            </w:r>
          </w:p>
          <w:p w14:paraId="1C287019" w14:textId="77777777" w:rsidR="00B6591A" w:rsidRPr="003F7B0B" w:rsidRDefault="00B6591A">
            <w:pPr>
              <w:spacing w:line="256" w:lineRule="auto"/>
              <w:rPr>
                <w:color w:val="D9D9D9" w:themeColor="background1" w:themeShade="D9"/>
                <w:sz w:val="16"/>
                <w:szCs w:val="16"/>
              </w:rPr>
            </w:pPr>
            <w:r w:rsidRPr="003F7B0B">
              <w:rPr>
                <w:color w:val="D9D9D9" w:themeColor="background1" w:themeShade="D9"/>
                <w:sz w:val="16"/>
                <w:szCs w:val="16"/>
              </w:rPr>
              <w:t>More details in Observation 9, section 2.3.4</w:t>
            </w:r>
          </w:p>
        </w:tc>
        <w:tc>
          <w:tcPr>
            <w:tcW w:w="970" w:type="dxa"/>
            <w:tcBorders>
              <w:top w:val="single" w:sz="8" w:space="0" w:color="auto"/>
              <w:left w:val="single" w:sz="8" w:space="0" w:color="auto"/>
              <w:bottom w:val="single" w:sz="8" w:space="0" w:color="auto"/>
              <w:right w:val="single" w:sz="8" w:space="0" w:color="auto"/>
            </w:tcBorders>
            <w:noWrap/>
            <w:vAlign w:val="center"/>
            <w:hideMark/>
          </w:tcPr>
          <w:p w14:paraId="56613D3B" w14:textId="77777777" w:rsidR="00B6591A" w:rsidRPr="003F7B0B" w:rsidRDefault="00B6591A">
            <w:pPr>
              <w:spacing w:line="256" w:lineRule="auto"/>
              <w:jc w:val="center"/>
              <w:rPr>
                <w:color w:val="D9D9D9" w:themeColor="background1" w:themeShade="D9"/>
                <w:sz w:val="16"/>
                <w:szCs w:val="16"/>
              </w:rPr>
            </w:pPr>
            <w:r w:rsidRPr="003F7B0B">
              <w:rPr>
                <w:color w:val="D9D9D9" w:themeColor="background1" w:themeShade="D9"/>
                <w:sz w:val="16"/>
                <w:szCs w:val="16"/>
              </w:rPr>
              <w:t>5.8</w:t>
            </w:r>
          </w:p>
        </w:tc>
        <w:tc>
          <w:tcPr>
            <w:tcW w:w="994" w:type="dxa"/>
            <w:tcBorders>
              <w:top w:val="single" w:sz="8" w:space="0" w:color="auto"/>
              <w:left w:val="single" w:sz="8" w:space="0" w:color="auto"/>
              <w:bottom w:val="single" w:sz="8" w:space="0" w:color="auto"/>
              <w:right w:val="single" w:sz="8" w:space="0" w:color="auto"/>
            </w:tcBorders>
            <w:vAlign w:val="center"/>
            <w:hideMark/>
          </w:tcPr>
          <w:p w14:paraId="6B76EB94" w14:textId="77777777" w:rsidR="00B6591A" w:rsidRPr="003F7B0B" w:rsidRDefault="00B6591A">
            <w:pPr>
              <w:spacing w:line="256" w:lineRule="auto"/>
              <w:jc w:val="center"/>
              <w:rPr>
                <w:rFonts w:ascii="Calibri" w:hAnsi="Calibri" w:cs="Calibri"/>
                <w:color w:val="D9D9D9" w:themeColor="background1" w:themeShade="D9"/>
                <w:sz w:val="18"/>
                <w:szCs w:val="18"/>
              </w:rPr>
            </w:pPr>
            <w:r w:rsidRPr="003F7B0B">
              <w:rPr>
                <w:rFonts w:ascii="Calibri" w:hAnsi="Calibri" w:cs="Calibri"/>
                <w:color w:val="D9D9D9" w:themeColor="background1" w:themeShade="D9"/>
                <w:sz w:val="18"/>
                <w:szCs w:val="18"/>
              </w:rPr>
              <w:t>6.835</w:t>
            </w:r>
          </w:p>
        </w:tc>
        <w:tc>
          <w:tcPr>
            <w:tcW w:w="997" w:type="dxa"/>
            <w:tcBorders>
              <w:top w:val="single" w:sz="8" w:space="0" w:color="auto"/>
              <w:left w:val="single" w:sz="8" w:space="0" w:color="auto"/>
              <w:bottom w:val="single" w:sz="8" w:space="0" w:color="auto"/>
              <w:right w:val="single" w:sz="8" w:space="0" w:color="auto"/>
            </w:tcBorders>
            <w:vAlign w:val="center"/>
            <w:hideMark/>
          </w:tcPr>
          <w:p w14:paraId="4C38833A" w14:textId="77777777" w:rsidR="00B6591A" w:rsidRPr="003F7B0B" w:rsidRDefault="00B6591A">
            <w:pPr>
              <w:spacing w:line="256" w:lineRule="auto"/>
              <w:jc w:val="center"/>
              <w:rPr>
                <w:rFonts w:ascii="Calibri" w:hAnsi="Calibri" w:cs="Calibri"/>
                <w:color w:val="D9D9D9" w:themeColor="background1" w:themeShade="D9"/>
                <w:sz w:val="18"/>
                <w:szCs w:val="18"/>
              </w:rPr>
            </w:pPr>
            <w:r w:rsidRPr="003F7B0B">
              <w:rPr>
                <w:rFonts w:ascii="Calibri" w:hAnsi="Calibri" w:cs="Calibri"/>
                <w:color w:val="D9D9D9" w:themeColor="background1" w:themeShade="D9"/>
                <w:sz w:val="18"/>
                <w:szCs w:val="18"/>
              </w:rPr>
              <w:t>17.28</w:t>
            </w:r>
          </w:p>
        </w:tc>
      </w:tr>
      <w:tr w:rsidR="003F7B0B" w:rsidRPr="003F7B0B" w14:paraId="26F4F8D2" w14:textId="77777777" w:rsidTr="00B6591A">
        <w:trPr>
          <w:trHeight w:val="663"/>
        </w:trPr>
        <w:tc>
          <w:tcPr>
            <w:tcW w:w="472" w:type="dxa"/>
            <w:tcBorders>
              <w:top w:val="single" w:sz="8" w:space="0" w:color="auto"/>
              <w:left w:val="single" w:sz="8" w:space="0" w:color="auto"/>
              <w:bottom w:val="single" w:sz="8" w:space="0" w:color="auto"/>
              <w:right w:val="single" w:sz="8" w:space="0" w:color="auto"/>
            </w:tcBorders>
            <w:noWrap/>
            <w:vAlign w:val="center"/>
            <w:hideMark/>
          </w:tcPr>
          <w:p w14:paraId="73976DAD" w14:textId="77777777" w:rsidR="00B6591A" w:rsidRPr="003F7B0B" w:rsidRDefault="00B6591A">
            <w:pPr>
              <w:spacing w:line="256" w:lineRule="auto"/>
              <w:jc w:val="right"/>
              <w:rPr>
                <w:color w:val="D9D9D9" w:themeColor="background1" w:themeShade="D9"/>
                <w:sz w:val="16"/>
                <w:szCs w:val="16"/>
              </w:rPr>
            </w:pPr>
            <w:r w:rsidRPr="003F7B0B">
              <w:rPr>
                <w:color w:val="D9D9D9" w:themeColor="background1" w:themeShade="D9"/>
                <w:sz w:val="16"/>
                <w:szCs w:val="16"/>
              </w:rPr>
              <w:t>21</w:t>
            </w:r>
          </w:p>
        </w:tc>
        <w:tc>
          <w:tcPr>
            <w:tcW w:w="1137" w:type="dxa"/>
            <w:tcBorders>
              <w:top w:val="single" w:sz="8" w:space="0" w:color="auto"/>
              <w:left w:val="single" w:sz="8" w:space="0" w:color="auto"/>
              <w:bottom w:val="single" w:sz="8" w:space="0" w:color="auto"/>
              <w:right w:val="single" w:sz="8" w:space="0" w:color="auto"/>
            </w:tcBorders>
            <w:noWrap/>
            <w:vAlign w:val="center"/>
            <w:hideMark/>
          </w:tcPr>
          <w:p w14:paraId="13576BFA" w14:textId="77777777" w:rsidR="00B6591A" w:rsidRPr="003F7B0B" w:rsidRDefault="00B6591A">
            <w:pPr>
              <w:spacing w:line="256" w:lineRule="auto"/>
              <w:rPr>
                <w:color w:val="D9D9D9" w:themeColor="background1" w:themeShade="D9"/>
                <w:sz w:val="16"/>
                <w:szCs w:val="16"/>
              </w:rPr>
            </w:pPr>
            <w:r w:rsidRPr="003F7B0B">
              <w:rPr>
                <w:color w:val="D9D9D9" w:themeColor="background1" w:themeShade="D9"/>
                <w:sz w:val="16"/>
                <w:szCs w:val="16"/>
              </w:rPr>
              <w:t>#3-3s- O2b</w:t>
            </w:r>
          </w:p>
        </w:tc>
        <w:tc>
          <w:tcPr>
            <w:tcW w:w="4707" w:type="dxa"/>
            <w:tcBorders>
              <w:top w:val="single" w:sz="8" w:space="0" w:color="auto"/>
              <w:left w:val="single" w:sz="8" w:space="0" w:color="auto"/>
              <w:bottom w:val="single" w:sz="8" w:space="0" w:color="auto"/>
              <w:right w:val="single" w:sz="8" w:space="0" w:color="auto"/>
            </w:tcBorders>
            <w:vAlign w:val="center"/>
            <w:hideMark/>
          </w:tcPr>
          <w:p w14:paraId="1BD61F7A" w14:textId="77777777" w:rsidR="00B6591A" w:rsidRPr="003F7B0B" w:rsidRDefault="00B6591A">
            <w:pPr>
              <w:spacing w:line="256" w:lineRule="auto"/>
              <w:rPr>
                <w:color w:val="D9D9D9" w:themeColor="background1" w:themeShade="D9"/>
                <w:sz w:val="16"/>
                <w:szCs w:val="16"/>
              </w:rPr>
            </w:pPr>
            <w:r w:rsidRPr="003F7B0B">
              <w:rPr>
                <w:color w:val="D9D9D9" w:themeColor="background1" w:themeShade="D9"/>
                <w:sz w:val="16"/>
                <w:szCs w:val="16"/>
              </w:rPr>
              <w:t>3sym CS/SS in s1+s2+s3, legacy RE mapping, PDCCH REs and PDCCH DMRS REs overlapping with CRS punctured/nulled by Rx.</w:t>
            </w:r>
          </w:p>
          <w:p w14:paraId="00825401" w14:textId="77777777" w:rsidR="00B6591A" w:rsidRPr="003F7B0B" w:rsidRDefault="00B6591A">
            <w:pPr>
              <w:spacing w:line="256" w:lineRule="auto"/>
              <w:rPr>
                <w:color w:val="D9D9D9" w:themeColor="background1" w:themeShade="D9"/>
                <w:sz w:val="16"/>
                <w:szCs w:val="16"/>
              </w:rPr>
            </w:pPr>
            <w:r w:rsidRPr="003F7B0B">
              <w:rPr>
                <w:color w:val="D9D9D9" w:themeColor="background1" w:themeShade="D9"/>
                <w:sz w:val="16"/>
                <w:szCs w:val="16"/>
              </w:rPr>
              <w:t>More details in Observation 9, section 2.3.4</w:t>
            </w:r>
          </w:p>
        </w:tc>
        <w:tc>
          <w:tcPr>
            <w:tcW w:w="970" w:type="dxa"/>
            <w:tcBorders>
              <w:top w:val="single" w:sz="8" w:space="0" w:color="auto"/>
              <w:left w:val="single" w:sz="8" w:space="0" w:color="auto"/>
              <w:bottom w:val="single" w:sz="8" w:space="0" w:color="auto"/>
              <w:right w:val="single" w:sz="8" w:space="0" w:color="auto"/>
            </w:tcBorders>
            <w:noWrap/>
            <w:vAlign w:val="center"/>
            <w:hideMark/>
          </w:tcPr>
          <w:p w14:paraId="22DD652F" w14:textId="77777777" w:rsidR="00B6591A" w:rsidRPr="003F7B0B" w:rsidRDefault="00B6591A">
            <w:pPr>
              <w:spacing w:line="256" w:lineRule="auto"/>
              <w:jc w:val="center"/>
              <w:rPr>
                <w:color w:val="D9D9D9" w:themeColor="background1" w:themeShade="D9"/>
                <w:sz w:val="16"/>
                <w:szCs w:val="16"/>
              </w:rPr>
            </w:pPr>
            <w:r w:rsidRPr="003F7B0B">
              <w:rPr>
                <w:color w:val="D9D9D9" w:themeColor="background1" w:themeShade="D9"/>
                <w:sz w:val="16"/>
                <w:szCs w:val="16"/>
              </w:rPr>
              <w:t>5.8</w:t>
            </w:r>
          </w:p>
        </w:tc>
        <w:tc>
          <w:tcPr>
            <w:tcW w:w="994" w:type="dxa"/>
            <w:tcBorders>
              <w:top w:val="single" w:sz="8" w:space="0" w:color="auto"/>
              <w:left w:val="single" w:sz="8" w:space="0" w:color="auto"/>
              <w:bottom w:val="single" w:sz="8" w:space="0" w:color="auto"/>
              <w:right w:val="single" w:sz="8" w:space="0" w:color="auto"/>
            </w:tcBorders>
            <w:vAlign w:val="center"/>
            <w:hideMark/>
          </w:tcPr>
          <w:p w14:paraId="227F861B" w14:textId="77777777" w:rsidR="00B6591A" w:rsidRPr="003F7B0B" w:rsidRDefault="00B6591A">
            <w:pPr>
              <w:spacing w:line="256" w:lineRule="auto"/>
              <w:jc w:val="center"/>
              <w:rPr>
                <w:rFonts w:ascii="Calibri" w:hAnsi="Calibri" w:cs="Calibri"/>
                <w:color w:val="D9D9D9" w:themeColor="background1" w:themeShade="D9"/>
                <w:sz w:val="18"/>
                <w:szCs w:val="18"/>
              </w:rPr>
            </w:pPr>
            <w:r w:rsidRPr="003F7B0B">
              <w:rPr>
                <w:rFonts w:ascii="Calibri" w:hAnsi="Calibri" w:cs="Calibri"/>
                <w:color w:val="D9D9D9" w:themeColor="background1" w:themeShade="D9"/>
                <w:sz w:val="18"/>
                <w:szCs w:val="18"/>
              </w:rPr>
              <w:t>7.105</w:t>
            </w:r>
          </w:p>
        </w:tc>
        <w:tc>
          <w:tcPr>
            <w:tcW w:w="997" w:type="dxa"/>
            <w:tcBorders>
              <w:top w:val="single" w:sz="8" w:space="0" w:color="auto"/>
              <w:left w:val="single" w:sz="8" w:space="0" w:color="auto"/>
              <w:bottom w:val="single" w:sz="8" w:space="0" w:color="auto"/>
              <w:right w:val="single" w:sz="8" w:space="0" w:color="auto"/>
            </w:tcBorders>
            <w:vAlign w:val="center"/>
            <w:hideMark/>
          </w:tcPr>
          <w:p w14:paraId="11488A79" w14:textId="77777777" w:rsidR="00B6591A" w:rsidRPr="003F7B0B" w:rsidRDefault="00B6591A">
            <w:pPr>
              <w:spacing w:line="256" w:lineRule="auto"/>
              <w:jc w:val="center"/>
              <w:rPr>
                <w:rFonts w:ascii="Calibri" w:hAnsi="Calibri" w:cs="Calibri"/>
                <w:color w:val="D9D9D9" w:themeColor="background1" w:themeShade="D9"/>
                <w:sz w:val="18"/>
                <w:szCs w:val="18"/>
              </w:rPr>
            </w:pPr>
            <w:r w:rsidRPr="003F7B0B">
              <w:rPr>
                <w:rFonts w:ascii="Calibri" w:hAnsi="Calibri" w:cs="Calibri"/>
                <w:color w:val="D9D9D9" w:themeColor="background1" w:themeShade="D9"/>
                <w:sz w:val="18"/>
                <w:szCs w:val="18"/>
              </w:rPr>
              <w:t>21.92</w:t>
            </w:r>
          </w:p>
        </w:tc>
      </w:tr>
      <w:tr w:rsidR="00B6591A" w14:paraId="05DF89A6" w14:textId="77777777" w:rsidTr="00B6591A">
        <w:trPr>
          <w:trHeight w:val="663"/>
        </w:trPr>
        <w:tc>
          <w:tcPr>
            <w:tcW w:w="9277" w:type="dxa"/>
            <w:gridSpan w:val="6"/>
            <w:tcBorders>
              <w:top w:val="single" w:sz="8" w:space="0" w:color="auto"/>
              <w:left w:val="single" w:sz="8" w:space="0" w:color="auto"/>
              <w:bottom w:val="single" w:sz="8" w:space="0" w:color="auto"/>
              <w:right w:val="single" w:sz="8" w:space="0" w:color="auto"/>
            </w:tcBorders>
            <w:noWrap/>
            <w:vAlign w:val="center"/>
            <w:hideMark/>
          </w:tcPr>
          <w:p w14:paraId="1EFA5C9B" w14:textId="77777777" w:rsidR="00B6591A" w:rsidRDefault="00B6591A">
            <w:pPr>
              <w:spacing w:line="256" w:lineRule="auto"/>
              <w:rPr>
                <w:rFonts w:ascii="Calibri" w:hAnsi="Calibri" w:cs="Calibri"/>
                <w:color w:val="000000"/>
                <w:sz w:val="18"/>
                <w:szCs w:val="18"/>
              </w:rPr>
            </w:pPr>
            <w:r>
              <w:rPr>
                <w:rFonts w:ascii="Calibri" w:hAnsi="Calibri" w:cs="Calibri"/>
                <w:color w:val="000000"/>
                <w:sz w:val="18"/>
                <w:szCs w:val="18"/>
              </w:rPr>
              <w:t>Notes:</w:t>
            </w:r>
          </w:p>
          <w:p w14:paraId="05BF6D02" w14:textId="77777777" w:rsidR="00B6591A" w:rsidRDefault="00B6591A">
            <w:pPr>
              <w:spacing w:line="256" w:lineRule="auto"/>
              <w:rPr>
                <w:rFonts w:ascii="Calibri" w:hAnsi="Calibri" w:cs="Calibri"/>
                <w:color w:val="000000"/>
                <w:sz w:val="18"/>
                <w:szCs w:val="18"/>
              </w:rPr>
            </w:pPr>
            <w:r>
              <w:rPr>
                <w:rFonts w:ascii="Calibri" w:hAnsi="Calibri" w:cs="Calibri"/>
                <w:color w:val="000000"/>
                <w:sz w:val="18"/>
                <w:szCs w:val="18"/>
              </w:rPr>
              <w:t>1. 2 symbols of NR PDCCH in s2, s3 used as baseline with s0, s1 reserved for LTE PDCCH and remaining 10 symbols for data.</w:t>
            </w:r>
          </w:p>
          <w:p w14:paraId="1BC59486" w14:textId="77777777" w:rsidR="00B6591A" w:rsidRDefault="00B6591A">
            <w:pPr>
              <w:spacing w:line="256" w:lineRule="auto"/>
              <w:rPr>
                <w:rFonts w:ascii="Calibri" w:hAnsi="Calibri" w:cs="Calibri"/>
                <w:color w:val="000000"/>
                <w:sz w:val="18"/>
                <w:szCs w:val="18"/>
              </w:rPr>
            </w:pPr>
            <w:r>
              <w:rPr>
                <w:rFonts w:ascii="Calibri" w:hAnsi="Calibri" w:cs="Calibri"/>
                <w:color w:val="000000"/>
                <w:sz w:val="18"/>
                <w:szCs w:val="18"/>
              </w:rPr>
              <w:t>2. Details such as coexistence assumptions and fraction of UEs that can support the Rel18 enhancement are provided in the corresponding observation mentioned in the description. CS/SS implies CORESET/Search space</w:t>
            </w:r>
          </w:p>
        </w:tc>
      </w:tr>
    </w:tbl>
    <w:p w14:paraId="375AD0A4" w14:textId="77777777" w:rsidR="00B6591A" w:rsidRPr="00453CE2" w:rsidRDefault="00B6591A" w:rsidP="00453CE2">
      <w:pPr>
        <w:pStyle w:val="BodyText"/>
      </w:pPr>
    </w:p>
    <w:sectPr w:rsidR="00B6591A" w:rsidRPr="00453CE2">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CE776" w14:textId="77777777" w:rsidR="00697777" w:rsidRDefault="00697777">
      <w:r>
        <w:separator/>
      </w:r>
    </w:p>
  </w:endnote>
  <w:endnote w:type="continuationSeparator" w:id="0">
    <w:p w14:paraId="466619CB" w14:textId="77777777" w:rsidR="00697777" w:rsidRDefault="00697777">
      <w:r>
        <w:continuationSeparator/>
      </w:r>
    </w:p>
  </w:endnote>
  <w:endnote w:type="continuationNotice" w:id="1">
    <w:p w14:paraId="320311D3" w14:textId="77777777" w:rsidR="00697777" w:rsidRDefault="0069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7544523"/>
      <w:docPartObj>
        <w:docPartGallery w:val="Page Numbers (Bottom of Page)"/>
        <w:docPartUnique/>
      </w:docPartObj>
    </w:sdtPr>
    <w:sdtEndPr>
      <w:rPr>
        <w:noProof/>
      </w:rPr>
    </w:sdtEndPr>
    <w:sdtContent>
      <w:p w14:paraId="054BA05F" w14:textId="77777777" w:rsidR="004904B6" w:rsidRDefault="00552B4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154086C" w14:textId="77777777" w:rsidR="004904B6" w:rsidRDefault="004904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B9A9D" w14:textId="77777777" w:rsidR="00697777" w:rsidRDefault="00697777">
      <w:r>
        <w:separator/>
      </w:r>
    </w:p>
  </w:footnote>
  <w:footnote w:type="continuationSeparator" w:id="0">
    <w:p w14:paraId="50FEF73F" w14:textId="77777777" w:rsidR="00697777" w:rsidRDefault="00697777">
      <w:r>
        <w:continuationSeparator/>
      </w:r>
    </w:p>
  </w:footnote>
  <w:footnote w:type="continuationNotice" w:id="1">
    <w:p w14:paraId="60832E53" w14:textId="77777777" w:rsidR="00697777" w:rsidRDefault="0069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C357F" w14:textId="77777777" w:rsidR="004904B6" w:rsidRDefault="004904B6" w:rsidP="004904B6">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A365A"/>
    <w:multiLevelType w:val="hybridMultilevel"/>
    <w:tmpl w:val="70644432"/>
    <w:lvl w:ilvl="0" w:tplc="A27CF74A">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C06057C"/>
    <w:multiLevelType w:val="hybridMultilevel"/>
    <w:tmpl w:val="0C6E5AD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E73156"/>
    <w:multiLevelType w:val="hybridMultilevel"/>
    <w:tmpl w:val="004E0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3A6630"/>
    <w:multiLevelType w:val="hybridMultilevel"/>
    <w:tmpl w:val="F2C61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25D67"/>
    <w:multiLevelType w:val="hybridMultilevel"/>
    <w:tmpl w:val="25766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7399D"/>
    <w:multiLevelType w:val="hybridMultilevel"/>
    <w:tmpl w:val="3BB2B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AD1CF4"/>
    <w:multiLevelType w:val="hybridMultilevel"/>
    <w:tmpl w:val="EED065E4"/>
    <w:lvl w:ilvl="0" w:tplc="331AD246">
      <w:start w:val="1"/>
      <w:numFmt w:val="bullet"/>
      <w:lvlText w:val="•"/>
      <w:lvlJc w:val="left"/>
      <w:pPr>
        <w:tabs>
          <w:tab w:val="num" w:pos="720"/>
        </w:tabs>
        <w:ind w:left="720" w:hanging="360"/>
      </w:pPr>
      <w:rPr>
        <w:rFonts w:ascii="Arial" w:hAnsi="Arial" w:cs="Times New Roman" w:hint="default"/>
      </w:rPr>
    </w:lvl>
    <w:lvl w:ilvl="1" w:tplc="476A07B2">
      <w:numFmt w:val="bullet"/>
      <w:lvlText w:val="–"/>
      <w:lvlJc w:val="left"/>
      <w:pPr>
        <w:tabs>
          <w:tab w:val="num" w:pos="1440"/>
        </w:tabs>
        <w:ind w:left="1440" w:hanging="360"/>
      </w:pPr>
      <w:rPr>
        <w:rFonts w:ascii="Arial" w:hAnsi="Arial" w:cs="Times New Roman" w:hint="default"/>
      </w:rPr>
    </w:lvl>
    <w:lvl w:ilvl="2" w:tplc="AC280D9C">
      <w:numFmt w:val="bullet"/>
      <w:lvlText w:val="•"/>
      <w:lvlJc w:val="left"/>
      <w:pPr>
        <w:tabs>
          <w:tab w:val="num" w:pos="2160"/>
        </w:tabs>
        <w:ind w:left="2160" w:hanging="360"/>
      </w:pPr>
      <w:rPr>
        <w:rFonts w:ascii="Arial" w:hAnsi="Arial" w:cs="Times New Roman" w:hint="default"/>
      </w:rPr>
    </w:lvl>
    <w:lvl w:ilvl="3" w:tplc="60DA23C0">
      <w:start w:val="1"/>
      <w:numFmt w:val="bullet"/>
      <w:lvlText w:val="•"/>
      <w:lvlJc w:val="left"/>
      <w:pPr>
        <w:tabs>
          <w:tab w:val="num" w:pos="2880"/>
        </w:tabs>
        <w:ind w:left="2880" w:hanging="360"/>
      </w:pPr>
      <w:rPr>
        <w:rFonts w:ascii="Arial" w:hAnsi="Arial" w:cs="Times New Roman" w:hint="default"/>
      </w:rPr>
    </w:lvl>
    <w:lvl w:ilvl="4" w:tplc="E296379C">
      <w:start w:val="1"/>
      <w:numFmt w:val="bullet"/>
      <w:lvlText w:val="•"/>
      <w:lvlJc w:val="left"/>
      <w:pPr>
        <w:tabs>
          <w:tab w:val="num" w:pos="3600"/>
        </w:tabs>
        <w:ind w:left="3600" w:hanging="360"/>
      </w:pPr>
      <w:rPr>
        <w:rFonts w:ascii="Arial" w:hAnsi="Arial" w:cs="Times New Roman" w:hint="default"/>
      </w:rPr>
    </w:lvl>
    <w:lvl w:ilvl="5" w:tplc="AB044564">
      <w:start w:val="1"/>
      <w:numFmt w:val="bullet"/>
      <w:lvlText w:val="•"/>
      <w:lvlJc w:val="left"/>
      <w:pPr>
        <w:tabs>
          <w:tab w:val="num" w:pos="4320"/>
        </w:tabs>
        <w:ind w:left="4320" w:hanging="360"/>
      </w:pPr>
      <w:rPr>
        <w:rFonts w:ascii="Arial" w:hAnsi="Arial" w:cs="Times New Roman" w:hint="default"/>
      </w:rPr>
    </w:lvl>
    <w:lvl w:ilvl="6" w:tplc="676029AA">
      <w:start w:val="1"/>
      <w:numFmt w:val="bullet"/>
      <w:lvlText w:val="•"/>
      <w:lvlJc w:val="left"/>
      <w:pPr>
        <w:tabs>
          <w:tab w:val="num" w:pos="5040"/>
        </w:tabs>
        <w:ind w:left="5040" w:hanging="360"/>
      </w:pPr>
      <w:rPr>
        <w:rFonts w:ascii="Arial" w:hAnsi="Arial" w:cs="Times New Roman" w:hint="default"/>
      </w:rPr>
    </w:lvl>
    <w:lvl w:ilvl="7" w:tplc="CB5E5C96">
      <w:start w:val="1"/>
      <w:numFmt w:val="bullet"/>
      <w:lvlText w:val="•"/>
      <w:lvlJc w:val="left"/>
      <w:pPr>
        <w:tabs>
          <w:tab w:val="num" w:pos="5760"/>
        </w:tabs>
        <w:ind w:left="5760" w:hanging="360"/>
      </w:pPr>
      <w:rPr>
        <w:rFonts w:ascii="Arial" w:hAnsi="Arial" w:cs="Times New Roman" w:hint="default"/>
      </w:rPr>
    </w:lvl>
    <w:lvl w:ilvl="8" w:tplc="4402849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E373CF1"/>
    <w:multiLevelType w:val="hybridMultilevel"/>
    <w:tmpl w:val="94F022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90674F"/>
    <w:multiLevelType w:val="hybridMultilevel"/>
    <w:tmpl w:val="21644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A67C46"/>
    <w:multiLevelType w:val="hybridMultilevel"/>
    <w:tmpl w:val="B5B8D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40B84"/>
    <w:multiLevelType w:val="hybridMultilevel"/>
    <w:tmpl w:val="FCEEB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935E3A"/>
    <w:multiLevelType w:val="hybridMultilevel"/>
    <w:tmpl w:val="313C1AC0"/>
    <w:lvl w:ilvl="0" w:tplc="AE269AF4">
      <w:start w:val="1"/>
      <w:numFmt w:val="bullet"/>
      <w:lvlText w:val=""/>
      <w:lvlJc w:val="left"/>
      <w:pPr>
        <w:ind w:left="288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E52E77"/>
    <w:multiLevelType w:val="hybridMultilevel"/>
    <w:tmpl w:val="CC8EEFBE"/>
    <w:lvl w:ilvl="0" w:tplc="37AE6C7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E4614BC"/>
    <w:multiLevelType w:val="hybridMultilevel"/>
    <w:tmpl w:val="3ED4D0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C066DB7"/>
    <w:multiLevelType w:val="multilevel"/>
    <w:tmpl w:val="6C066DB7"/>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2F906A1"/>
    <w:multiLevelType w:val="hybridMultilevel"/>
    <w:tmpl w:val="0BECA1AA"/>
    <w:lvl w:ilvl="0" w:tplc="AE269AF4">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360" w:hanging="360"/>
      </w:pPr>
      <w:rPr>
        <w:rFonts w:ascii="Symbol" w:hAnsi="Symbol" w:hint="default"/>
      </w:rPr>
    </w:lvl>
    <w:lvl w:ilvl="4" w:tplc="04090003" w:tentative="1">
      <w:start w:val="1"/>
      <w:numFmt w:val="bullet"/>
      <w:lvlText w:val="o"/>
      <w:lvlJc w:val="left"/>
      <w:pPr>
        <w:ind w:left="1080" w:hanging="360"/>
      </w:pPr>
      <w:rPr>
        <w:rFonts w:ascii="Courier New" w:hAnsi="Courier New" w:cs="Courier New" w:hint="default"/>
      </w:rPr>
    </w:lvl>
    <w:lvl w:ilvl="5" w:tplc="04090005" w:tentative="1">
      <w:start w:val="1"/>
      <w:numFmt w:val="bullet"/>
      <w:lvlText w:val=""/>
      <w:lvlJc w:val="left"/>
      <w:pPr>
        <w:ind w:left="1800" w:hanging="360"/>
      </w:pPr>
      <w:rPr>
        <w:rFonts w:ascii="Wingdings" w:hAnsi="Wingdings" w:hint="default"/>
      </w:rPr>
    </w:lvl>
    <w:lvl w:ilvl="6" w:tplc="04090001" w:tentative="1">
      <w:start w:val="1"/>
      <w:numFmt w:val="bullet"/>
      <w:lvlText w:val=""/>
      <w:lvlJc w:val="left"/>
      <w:pPr>
        <w:ind w:left="2520" w:hanging="360"/>
      </w:pPr>
      <w:rPr>
        <w:rFonts w:ascii="Symbol" w:hAnsi="Symbol" w:hint="default"/>
      </w:rPr>
    </w:lvl>
    <w:lvl w:ilvl="7" w:tplc="04090003" w:tentative="1">
      <w:start w:val="1"/>
      <w:numFmt w:val="bullet"/>
      <w:lvlText w:val="o"/>
      <w:lvlJc w:val="left"/>
      <w:pPr>
        <w:ind w:left="3240" w:hanging="360"/>
      </w:pPr>
      <w:rPr>
        <w:rFonts w:ascii="Courier New" w:hAnsi="Courier New" w:cs="Courier New" w:hint="default"/>
      </w:rPr>
    </w:lvl>
    <w:lvl w:ilvl="8" w:tplc="04090005" w:tentative="1">
      <w:start w:val="1"/>
      <w:numFmt w:val="bullet"/>
      <w:lvlText w:val=""/>
      <w:lvlJc w:val="left"/>
      <w:pPr>
        <w:ind w:left="3960" w:hanging="360"/>
      </w:pPr>
      <w:rPr>
        <w:rFonts w:ascii="Wingdings" w:hAnsi="Wingdings" w:hint="default"/>
      </w:rPr>
    </w:lvl>
  </w:abstractNum>
  <w:abstractNum w:abstractNumId="18" w15:restartNumberingAfterBreak="0">
    <w:nsid w:val="78B2170F"/>
    <w:multiLevelType w:val="hybridMultilevel"/>
    <w:tmpl w:val="85E04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64882"/>
    <w:multiLevelType w:val="hybridMultilevel"/>
    <w:tmpl w:val="DFA8AE6C"/>
    <w:lvl w:ilvl="0" w:tplc="AE269AF4">
      <w:start w:val="1"/>
      <w:numFmt w:val="bullet"/>
      <w:lvlText w:val=""/>
      <w:lvlJc w:val="left"/>
      <w:pPr>
        <w:ind w:left="288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E21539"/>
    <w:multiLevelType w:val="hybridMultilevel"/>
    <w:tmpl w:val="B91852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E269AF4">
      <w:start w:val="1"/>
      <w:numFmt w:val="bullet"/>
      <w:lvlText w:val=""/>
      <w:lvlJc w:val="left"/>
      <w:pPr>
        <w:ind w:left="2880" w:hanging="360"/>
      </w:pPr>
      <w:rPr>
        <w:rFonts w:ascii="Wingdings" w:hAnsi="Wingdings" w:hint="default"/>
        <w:color w:val="auto"/>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105A79"/>
    <w:multiLevelType w:val="hybridMultilevel"/>
    <w:tmpl w:val="3FDC2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ED18BC"/>
    <w:multiLevelType w:val="multilevel"/>
    <w:tmpl w:val="74149876"/>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3" w15:restartNumberingAfterBreak="0">
    <w:nsid w:val="7C58017A"/>
    <w:multiLevelType w:val="multilevel"/>
    <w:tmpl w:val="7C58017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677391529">
    <w:abstractNumId w:val="22"/>
  </w:num>
  <w:num w:numId="2" w16cid:durableId="1184783974">
    <w:abstractNumId w:val="10"/>
  </w:num>
  <w:num w:numId="3" w16cid:durableId="531575364">
    <w:abstractNumId w:val="20"/>
  </w:num>
  <w:num w:numId="4" w16cid:durableId="1369379052">
    <w:abstractNumId w:val="18"/>
  </w:num>
  <w:num w:numId="5" w16cid:durableId="1414013638">
    <w:abstractNumId w:val="8"/>
  </w:num>
  <w:num w:numId="6" w16cid:durableId="246430042">
    <w:abstractNumId w:val="23"/>
  </w:num>
  <w:num w:numId="7" w16cid:durableId="720176300">
    <w:abstractNumId w:val="16"/>
  </w:num>
  <w:num w:numId="8" w16cid:durableId="1222591860">
    <w:abstractNumId w:val="7"/>
  </w:num>
  <w:num w:numId="9" w16cid:durableId="1984189170">
    <w:abstractNumId w:val="22"/>
  </w:num>
  <w:num w:numId="10" w16cid:durableId="2102724958">
    <w:abstractNumId w:val="12"/>
  </w:num>
  <w:num w:numId="11" w16cid:durableId="14476988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95489">
    <w:abstractNumId w:val="17"/>
  </w:num>
  <w:num w:numId="13" w16cid:durableId="503738574">
    <w:abstractNumId w:val="19"/>
  </w:num>
  <w:num w:numId="14" w16cid:durableId="469981794">
    <w:abstractNumId w:val="22"/>
  </w:num>
  <w:num w:numId="15" w16cid:durableId="446436413">
    <w:abstractNumId w:val="14"/>
  </w:num>
  <w:num w:numId="16" w16cid:durableId="252475036">
    <w:abstractNumId w:val="11"/>
  </w:num>
  <w:num w:numId="17" w16cid:durableId="1153525945">
    <w:abstractNumId w:val="9"/>
  </w:num>
  <w:num w:numId="18" w16cid:durableId="1100026315">
    <w:abstractNumId w:val="2"/>
  </w:num>
  <w:num w:numId="19" w16cid:durableId="559445077">
    <w:abstractNumId w:val="5"/>
  </w:num>
  <w:num w:numId="20" w16cid:durableId="289483885">
    <w:abstractNumId w:val="1"/>
  </w:num>
  <w:num w:numId="21" w16cid:durableId="1303346241">
    <w:abstractNumId w:val="1"/>
  </w:num>
  <w:num w:numId="22" w16cid:durableId="1105927410">
    <w:abstractNumId w:val="3"/>
  </w:num>
  <w:num w:numId="23" w16cid:durableId="1168600400">
    <w:abstractNumId w:val="15"/>
  </w:num>
  <w:num w:numId="24" w16cid:durableId="1877811560">
    <w:abstractNumId w:val="6"/>
  </w:num>
  <w:num w:numId="25" w16cid:durableId="1272594252">
    <w:abstractNumId w:val="13"/>
  </w:num>
  <w:num w:numId="26" w16cid:durableId="2144156527">
    <w:abstractNumId w:val="0"/>
  </w:num>
  <w:num w:numId="27" w16cid:durableId="997730793">
    <w:abstractNumId w:val="21"/>
  </w:num>
  <w:num w:numId="28" w16cid:durableId="14743230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B4F"/>
    <w:rsid w:val="00000898"/>
    <w:rsid w:val="00007790"/>
    <w:rsid w:val="0001097E"/>
    <w:rsid w:val="00011A9C"/>
    <w:rsid w:val="00011B8B"/>
    <w:rsid w:val="000151B2"/>
    <w:rsid w:val="00026D1E"/>
    <w:rsid w:val="00026EC1"/>
    <w:rsid w:val="00032473"/>
    <w:rsid w:val="000340BB"/>
    <w:rsid w:val="000374E6"/>
    <w:rsid w:val="00037C4A"/>
    <w:rsid w:val="00037CD3"/>
    <w:rsid w:val="00044623"/>
    <w:rsid w:val="00045DF6"/>
    <w:rsid w:val="00051309"/>
    <w:rsid w:val="00051FF5"/>
    <w:rsid w:val="0005532A"/>
    <w:rsid w:val="00056359"/>
    <w:rsid w:val="00061FE9"/>
    <w:rsid w:val="00064959"/>
    <w:rsid w:val="00066B8F"/>
    <w:rsid w:val="000701A5"/>
    <w:rsid w:val="00071B01"/>
    <w:rsid w:val="00075005"/>
    <w:rsid w:val="00075714"/>
    <w:rsid w:val="000776A2"/>
    <w:rsid w:val="00080290"/>
    <w:rsid w:val="00081D51"/>
    <w:rsid w:val="0008503A"/>
    <w:rsid w:val="00086142"/>
    <w:rsid w:val="00090D2F"/>
    <w:rsid w:val="00091F3C"/>
    <w:rsid w:val="00092214"/>
    <w:rsid w:val="00092AAD"/>
    <w:rsid w:val="00093CB2"/>
    <w:rsid w:val="000950EC"/>
    <w:rsid w:val="0009618B"/>
    <w:rsid w:val="000968B1"/>
    <w:rsid w:val="000A19C9"/>
    <w:rsid w:val="000A349A"/>
    <w:rsid w:val="000A74AE"/>
    <w:rsid w:val="000C08BE"/>
    <w:rsid w:val="000C5C17"/>
    <w:rsid w:val="000D0E54"/>
    <w:rsid w:val="000D2871"/>
    <w:rsid w:val="000D5FE1"/>
    <w:rsid w:val="000D6323"/>
    <w:rsid w:val="000D75AF"/>
    <w:rsid w:val="000E1FCB"/>
    <w:rsid w:val="000E4365"/>
    <w:rsid w:val="000F0873"/>
    <w:rsid w:val="0010011C"/>
    <w:rsid w:val="00104A6F"/>
    <w:rsid w:val="00105A67"/>
    <w:rsid w:val="00105B62"/>
    <w:rsid w:val="001118C6"/>
    <w:rsid w:val="001138E6"/>
    <w:rsid w:val="001333DB"/>
    <w:rsid w:val="00135E79"/>
    <w:rsid w:val="001372B0"/>
    <w:rsid w:val="00141BB1"/>
    <w:rsid w:val="00142D62"/>
    <w:rsid w:val="001448E2"/>
    <w:rsid w:val="00144DBF"/>
    <w:rsid w:val="00147773"/>
    <w:rsid w:val="001508D8"/>
    <w:rsid w:val="00161F32"/>
    <w:rsid w:val="001634BE"/>
    <w:rsid w:val="00164378"/>
    <w:rsid w:val="001646AC"/>
    <w:rsid w:val="00172ACC"/>
    <w:rsid w:val="0017580B"/>
    <w:rsid w:val="001777F2"/>
    <w:rsid w:val="0018001E"/>
    <w:rsid w:val="00180D7D"/>
    <w:rsid w:val="00180DB7"/>
    <w:rsid w:val="00182EB1"/>
    <w:rsid w:val="00186984"/>
    <w:rsid w:val="001926C5"/>
    <w:rsid w:val="00195238"/>
    <w:rsid w:val="0019798C"/>
    <w:rsid w:val="00197C7D"/>
    <w:rsid w:val="001A0509"/>
    <w:rsid w:val="001A073F"/>
    <w:rsid w:val="001A0D64"/>
    <w:rsid w:val="001A2041"/>
    <w:rsid w:val="001A4DDF"/>
    <w:rsid w:val="001A7EEE"/>
    <w:rsid w:val="001B209E"/>
    <w:rsid w:val="001B3067"/>
    <w:rsid w:val="001B5BE2"/>
    <w:rsid w:val="001C2CE3"/>
    <w:rsid w:val="001C2FBF"/>
    <w:rsid w:val="001D6D8E"/>
    <w:rsid w:val="001E495E"/>
    <w:rsid w:val="00200551"/>
    <w:rsid w:val="00202116"/>
    <w:rsid w:val="00202506"/>
    <w:rsid w:val="00202EB5"/>
    <w:rsid w:val="00204B9E"/>
    <w:rsid w:val="002052C9"/>
    <w:rsid w:val="00212131"/>
    <w:rsid w:val="00215731"/>
    <w:rsid w:val="00217B08"/>
    <w:rsid w:val="002206D7"/>
    <w:rsid w:val="00226EAA"/>
    <w:rsid w:val="002317C7"/>
    <w:rsid w:val="002369E6"/>
    <w:rsid w:val="002378BD"/>
    <w:rsid w:val="0024185E"/>
    <w:rsid w:val="0025180D"/>
    <w:rsid w:val="00252EBF"/>
    <w:rsid w:val="00253607"/>
    <w:rsid w:val="002564C6"/>
    <w:rsid w:val="00257F89"/>
    <w:rsid w:val="002610EC"/>
    <w:rsid w:val="0027384F"/>
    <w:rsid w:val="00274233"/>
    <w:rsid w:val="0027439C"/>
    <w:rsid w:val="002744E4"/>
    <w:rsid w:val="00274FE9"/>
    <w:rsid w:val="0027557C"/>
    <w:rsid w:val="002779B3"/>
    <w:rsid w:val="002854CD"/>
    <w:rsid w:val="0028638B"/>
    <w:rsid w:val="00292C97"/>
    <w:rsid w:val="002949AE"/>
    <w:rsid w:val="002951C7"/>
    <w:rsid w:val="002976EE"/>
    <w:rsid w:val="002A0403"/>
    <w:rsid w:val="002A0658"/>
    <w:rsid w:val="002A58E8"/>
    <w:rsid w:val="002A760C"/>
    <w:rsid w:val="002B1C91"/>
    <w:rsid w:val="002B4CC9"/>
    <w:rsid w:val="002C3811"/>
    <w:rsid w:val="002C4592"/>
    <w:rsid w:val="002C46A8"/>
    <w:rsid w:val="002C63FC"/>
    <w:rsid w:val="002D2E96"/>
    <w:rsid w:val="002D4B67"/>
    <w:rsid w:val="002E0D22"/>
    <w:rsid w:val="002E18EF"/>
    <w:rsid w:val="002F049C"/>
    <w:rsid w:val="002F27A4"/>
    <w:rsid w:val="002F4A28"/>
    <w:rsid w:val="002F5FAA"/>
    <w:rsid w:val="002F795B"/>
    <w:rsid w:val="003032A8"/>
    <w:rsid w:val="00303A77"/>
    <w:rsid w:val="0030525E"/>
    <w:rsid w:val="00306F69"/>
    <w:rsid w:val="00313320"/>
    <w:rsid w:val="00315940"/>
    <w:rsid w:val="00332E61"/>
    <w:rsid w:val="00344ABE"/>
    <w:rsid w:val="003459B6"/>
    <w:rsid w:val="00346DC2"/>
    <w:rsid w:val="003558A7"/>
    <w:rsid w:val="00361A83"/>
    <w:rsid w:val="00365453"/>
    <w:rsid w:val="0036663C"/>
    <w:rsid w:val="00373D4C"/>
    <w:rsid w:val="00375F13"/>
    <w:rsid w:val="003779C2"/>
    <w:rsid w:val="00377FF5"/>
    <w:rsid w:val="003823F4"/>
    <w:rsid w:val="00385FF9"/>
    <w:rsid w:val="00387638"/>
    <w:rsid w:val="00394B81"/>
    <w:rsid w:val="0039578E"/>
    <w:rsid w:val="003A2E68"/>
    <w:rsid w:val="003A3980"/>
    <w:rsid w:val="003A502E"/>
    <w:rsid w:val="003B5427"/>
    <w:rsid w:val="003C1639"/>
    <w:rsid w:val="003C42EF"/>
    <w:rsid w:val="003C6248"/>
    <w:rsid w:val="003D1040"/>
    <w:rsid w:val="003F2821"/>
    <w:rsid w:val="003F368D"/>
    <w:rsid w:val="003F7B0B"/>
    <w:rsid w:val="00401BF2"/>
    <w:rsid w:val="00402D3E"/>
    <w:rsid w:val="00403BA1"/>
    <w:rsid w:val="00416839"/>
    <w:rsid w:val="00417465"/>
    <w:rsid w:val="00417933"/>
    <w:rsid w:val="00422654"/>
    <w:rsid w:val="0042489E"/>
    <w:rsid w:val="004270E1"/>
    <w:rsid w:val="00427C5D"/>
    <w:rsid w:val="00432EB8"/>
    <w:rsid w:val="00434F68"/>
    <w:rsid w:val="004414D1"/>
    <w:rsid w:val="00441B90"/>
    <w:rsid w:val="004432F5"/>
    <w:rsid w:val="00444750"/>
    <w:rsid w:val="00444CFE"/>
    <w:rsid w:val="00445021"/>
    <w:rsid w:val="0044607E"/>
    <w:rsid w:val="00453CE2"/>
    <w:rsid w:val="00454DCD"/>
    <w:rsid w:val="00462BEB"/>
    <w:rsid w:val="00470762"/>
    <w:rsid w:val="0047114F"/>
    <w:rsid w:val="00473E3C"/>
    <w:rsid w:val="00474427"/>
    <w:rsid w:val="0047779D"/>
    <w:rsid w:val="00483A1B"/>
    <w:rsid w:val="00483ABA"/>
    <w:rsid w:val="004904B6"/>
    <w:rsid w:val="00492F9A"/>
    <w:rsid w:val="004938D7"/>
    <w:rsid w:val="004952E2"/>
    <w:rsid w:val="00495575"/>
    <w:rsid w:val="00495897"/>
    <w:rsid w:val="004960D1"/>
    <w:rsid w:val="004A1C83"/>
    <w:rsid w:val="004A2D3C"/>
    <w:rsid w:val="004B0A3A"/>
    <w:rsid w:val="004B13E1"/>
    <w:rsid w:val="004B2DAF"/>
    <w:rsid w:val="004B32FF"/>
    <w:rsid w:val="004B5E14"/>
    <w:rsid w:val="004C442F"/>
    <w:rsid w:val="004D04E2"/>
    <w:rsid w:val="004D36C9"/>
    <w:rsid w:val="004D3E09"/>
    <w:rsid w:val="004D5F98"/>
    <w:rsid w:val="004D767E"/>
    <w:rsid w:val="004E41D4"/>
    <w:rsid w:val="004E47AC"/>
    <w:rsid w:val="004E57BC"/>
    <w:rsid w:val="004F273D"/>
    <w:rsid w:val="004F2A8C"/>
    <w:rsid w:val="004F6514"/>
    <w:rsid w:val="00505906"/>
    <w:rsid w:val="00507CCB"/>
    <w:rsid w:val="0051360F"/>
    <w:rsid w:val="00514077"/>
    <w:rsid w:val="005175EF"/>
    <w:rsid w:val="00527416"/>
    <w:rsid w:val="00530D58"/>
    <w:rsid w:val="00533ED3"/>
    <w:rsid w:val="00552B4F"/>
    <w:rsid w:val="00552C9D"/>
    <w:rsid w:val="00553A1B"/>
    <w:rsid w:val="00553E4B"/>
    <w:rsid w:val="00554CDA"/>
    <w:rsid w:val="005572AA"/>
    <w:rsid w:val="00560766"/>
    <w:rsid w:val="00561268"/>
    <w:rsid w:val="005621B4"/>
    <w:rsid w:val="00562EAA"/>
    <w:rsid w:val="00564A81"/>
    <w:rsid w:val="0056686C"/>
    <w:rsid w:val="00580250"/>
    <w:rsid w:val="00580F4E"/>
    <w:rsid w:val="0058571D"/>
    <w:rsid w:val="00591063"/>
    <w:rsid w:val="00591996"/>
    <w:rsid w:val="005928BA"/>
    <w:rsid w:val="00593A4F"/>
    <w:rsid w:val="00596C8C"/>
    <w:rsid w:val="005B1C15"/>
    <w:rsid w:val="005B3344"/>
    <w:rsid w:val="005B6146"/>
    <w:rsid w:val="005C30CE"/>
    <w:rsid w:val="005C3FB7"/>
    <w:rsid w:val="005C4D7B"/>
    <w:rsid w:val="005D04BC"/>
    <w:rsid w:val="005D5E48"/>
    <w:rsid w:val="005D6BA1"/>
    <w:rsid w:val="005D7A28"/>
    <w:rsid w:val="005E251B"/>
    <w:rsid w:val="005E5BCE"/>
    <w:rsid w:val="005F187B"/>
    <w:rsid w:val="005F204F"/>
    <w:rsid w:val="005F2381"/>
    <w:rsid w:val="005F5FE1"/>
    <w:rsid w:val="00601F39"/>
    <w:rsid w:val="00616E13"/>
    <w:rsid w:val="006246B1"/>
    <w:rsid w:val="006273B5"/>
    <w:rsid w:val="00632620"/>
    <w:rsid w:val="006334C2"/>
    <w:rsid w:val="0064110C"/>
    <w:rsid w:val="0064151E"/>
    <w:rsid w:val="00642150"/>
    <w:rsid w:val="006430BB"/>
    <w:rsid w:val="006441E1"/>
    <w:rsid w:val="00646C0B"/>
    <w:rsid w:val="0066521A"/>
    <w:rsid w:val="0067092C"/>
    <w:rsid w:val="006709FC"/>
    <w:rsid w:val="00670CFF"/>
    <w:rsid w:val="006751D5"/>
    <w:rsid w:val="0068179B"/>
    <w:rsid w:val="006849FF"/>
    <w:rsid w:val="00686CAD"/>
    <w:rsid w:val="006870F3"/>
    <w:rsid w:val="00695BFB"/>
    <w:rsid w:val="00697777"/>
    <w:rsid w:val="006A1A18"/>
    <w:rsid w:val="006A2B06"/>
    <w:rsid w:val="006A4185"/>
    <w:rsid w:val="006A62E0"/>
    <w:rsid w:val="006B081A"/>
    <w:rsid w:val="006B2E24"/>
    <w:rsid w:val="006C2AD3"/>
    <w:rsid w:val="006C6407"/>
    <w:rsid w:val="006C7402"/>
    <w:rsid w:val="006D13AA"/>
    <w:rsid w:val="006D2277"/>
    <w:rsid w:val="006E7E45"/>
    <w:rsid w:val="006F588D"/>
    <w:rsid w:val="00700A09"/>
    <w:rsid w:val="00701EE6"/>
    <w:rsid w:val="00702A1F"/>
    <w:rsid w:val="00702B15"/>
    <w:rsid w:val="00702D60"/>
    <w:rsid w:val="007049E9"/>
    <w:rsid w:val="0070775D"/>
    <w:rsid w:val="00710A5C"/>
    <w:rsid w:val="00710B0F"/>
    <w:rsid w:val="00713366"/>
    <w:rsid w:val="00717A40"/>
    <w:rsid w:val="007235BF"/>
    <w:rsid w:val="007261EA"/>
    <w:rsid w:val="00736466"/>
    <w:rsid w:val="00736C54"/>
    <w:rsid w:val="0074362F"/>
    <w:rsid w:val="00743CA8"/>
    <w:rsid w:val="00745F5F"/>
    <w:rsid w:val="007518CE"/>
    <w:rsid w:val="007534AC"/>
    <w:rsid w:val="00753C7B"/>
    <w:rsid w:val="00756F49"/>
    <w:rsid w:val="00760381"/>
    <w:rsid w:val="00762349"/>
    <w:rsid w:val="007657AF"/>
    <w:rsid w:val="0077705E"/>
    <w:rsid w:val="0078348C"/>
    <w:rsid w:val="007867D8"/>
    <w:rsid w:val="00787562"/>
    <w:rsid w:val="00793524"/>
    <w:rsid w:val="007951AD"/>
    <w:rsid w:val="007979F7"/>
    <w:rsid w:val="007A0387"/>
    <w:rsid w:val="007A1D95"/>
    <w:rsid w:val="007A21BC"/>
    <w:rsid w:val="007B1E55"/>
    <w:rsid w:val="007B1F9D"/>
    <w:rsid w:val="007B372C"/>
    <w:rsid w:val="007B4B2E"/>
    <w:rsid w:val="007C0ECE"/>
    <w:rsid w:val="007C168B"/>
    <w:rsid w:val="007C1F91"/>
    <w:rsid w:val="007C2394"/>
    <w:rsid w:val="007C4645"/>
    <w:rsid w:val="007C4790"/>
    <w:rsid w:val="007C7973"/>
    <w:rsid w:val="007D29D4"/>
    <w:rsid w:val="007D4D4D"/>
    <w:rsid w:val="007E0978"/>
    <w:rsid w:val="007E6D0B"/>
    <w:rsid w:val="007E7183"/>
    <w:rsid w:val="007F18E2"/>
    <w:rsid w:val="007F2110"/>
    <w:rsid w:val="007F2D14"/>
    <w:rsid w:val="00802D61"/>
    <w:rsid w:val="00806B88"/>
    <w:rsid w:val="008078FC"/>
    <w:rsid w:val="00810C06"/>
    <w:rsid w:val="00811849"/>
    <w:rsid w:val="008147BA"/>
    <w:rsid w:val="00817805"/>
    <w:rsid w:val="0082074A"/>
    <w:rsid w:val="00820F20"/>
    <w:rsid w:val="00821DC4"/>
    <w:rsid w:val="00822648"/>
    <w:rsid w:val="00830191"/>
    <w:rsid w:val="00831550"/>
    <w:rsid w:val="00836EF8"/>
    <w:rsid w:val="00840789"/>
    <w:rsid w:val="008464C2"/>
    <w:rsid w:val="008563FD"/>
    <w:rsid w:val="00860295"/>
    <w:rsid w:val="0086046B"/>
    <w:rsid w:val="00863063"/>
    <w:rsid w:val="008640C0"/>
    <w:rsid w:val="0086600D"/>
    <w:rsid w:val="008707B0"/>
    <w:rsid w:val="00872336"/>
    <w:rsid w:val="00872DC0"/>
    <w:rsid w:val="00875D63"/>
    <w:rsid w:val="00881805"/>
    <w:rsid w:val="00881CDC"/>
    <w:rsid w:val="00883C67"/>
    <w:rsid w:val="00884255"/>
    <w:rsid w:val="00890311"/>
    <w:rsid w:val="00891570"/>
    <w:rsid w:val="0089271E"/>
    <w:rsid w:val="00895CB4"/>
    <w:rsid w:val="008A1222"/>
    <w:rsid w:val="008A2D85"/>
    <w:rsid w:val="008A798A"/>
    <w:rsid w:val="008A7B44"/>
    <w:rsid w:val="008B2635"/>
    <w:rsid w:val="008B37F3"/>
    <w:rsid w:val="008B629C"/>
    <w:rsid w:val="008C160E"/>
    <w:rsid w:val="008C336E"/>
    <w:rsid w:val="008C3695"/>
    <w:rsid w:val="008C4E6B"/>
    <w:rsid w:val="008D28E8"/>
    <w:rsid w:val="008D5B86"/>
    <w:rsid w:val="008E10C7"/>
    <w:rsid w:val="008E2D82"/>
    <w:rsid w:val="008E4150"/>
    <w:rsid w:val="008E483F"/>
    <w:rsid w:val="008E527C"/>
    <w:rsid w:val="008F0235"/>
    <w:rsid w:val="008F4BFE"/>
    <w:rsid w:val="008F724C"/>
    <w:rsid w:val="008F784B"/>
    <w:rsid w:val="009009F1"/>
    <w:rsid w:val="00902B67"/>
    <w:rsid w:val="00904946"/>
    <w:rsid w:val="00906210"/>
    <w:rsid w:val="009064D5"/>
    <w:rsid w:val="009129BB"/>
    <w:rsid w:val="00913F04"/>
    <w:rsid w:val="00917FDD"/>
    <w:rsid w:val="00921B50"/>
    <w:rsid w:val="0092262F"/>
    <w:rsid w:val="0093078D"/>
    <w:rsid w:val="00931199"/>
    <w:rsid w:val="0093196F"/>
    <w:rsid w:val="009329DD"/>
    <w:rsid w:val="0093448C"/>
    <w:rsid w:val="00937F3A"/>
    <w:rsid w:val="00940473"/>
    <w:rsid w:val="009410B6"/>
    <w:rsid w:val="00955BE6"/>
    <w:rsid w:val="009622F8"/>
    <w:rsid w:val="00964A21"/>
    <w:rsid w:val="00965E77"/>
    <w:rsid w:val="00970DA6"/>
    <w:rsid w:val="0097344E"/>
    <w:rsid w:val="00974365"/>
    <w:rsid w:val="00986021"/>
    <w:rsid w:val="009908A8"/>
    <w:rsid w:val="00994A09"/>
    <w:rsid w:val="00996542"/>
    <w:rsid w:val="009977F7"/>
    <w:rsid w:val="009A0DDF"/>
    <w:rsid w:val="009A19CD"/>
    <w:rsid w:val="009A2498"/>
    <w:rsid w:val="009B0638"/>
    <w:rsid w:val="009B0709"/>
    <w:rsid w:val="009B2672"/>
    <w:rsid w:val="009B2F8B"/>
    <w:rsid w:val="009B331A"/>
    <w:rsid w:val="009B3DCE"/>
    <w:rsid w:val="009B588D"/>
    <w:rsid w:val="009C0021"/>
    <w:rsid w:val="009C1366"/>
    <w:rsid w:val="009C6FAD"/>
    <w:rsid w:val="009D63E8"/>
    <w:rsid w:val="009F4092"/>
    <w:rsid w:val="009F4FC5"/>
    <w:rsid w:val="009F7FBA"/>
    <w:rsid w:val="00A07DE9"/>
    <w:rsid w:val="00A07FDA"/>
    <w:rsid w:val="00A16D20"/>
    <w:rsid w:val="00A27354"/>
    <w:rsid w:val="00A318DF"/>
    <w:rsid w:val="00A32E93"/>
    <w:rsid w:val="00A36708"/>
    <w:rsid w:val="00A42205"/>
    <w:rsid w:val="00A54E54"/>
    <w:rsid w:val="00A56463"/>
    <w:rsid w:val="00A606EA"/>
    <w:rsid w:val="00A62439"/>
    <w:rsid w:val="00A62CCB"/>
    <w:rsid w:val="00A651F2"/>
    <w:rsid w:val="00A66527"/>
    <w:rsid w:val="00A67DD5"/>
    <w:rsid w:val="00A7105D"/>
    <w:rsid w:val="00A730ED"/>
    <w:rsid w:val="00A74602"/>
    <w:rsid w:val="00A7503D"/>
    <w:rsid w:val="00A75F1F"/>
    <w:rsid w:val="00A82017"/>
    <w:rsid w:val="00A8345F"/>
    <w:rsid w:val="00A87341"/>
    <w:rsid w:val="00A91F7D"/>
    <w:rsid w:val="00A95DEE"/>
    <w:rsid w:val="00A965B1"/>
    <w:rsid w:val="00A97369"/>
    <w:rsid w:val="00AA12A1"/>
    <w:rsid w:val="00AA31FF"/>
    <w:rsid w:val="00AA3BC2"/>
    <w:rsid w:val="00AA3CAC"/>
    <w:rsid w:val="00AA758C"/>
    <w:rsid w:val="00AB15C1"/>
    <w:rsid w:val="00AB1EFF"/>
    <w:rsid w:val="00AB20E6"/>
    <w:rsid w:val="00AB5BA7"/>
    <w:rsid w:val="00AB5F3D"/>
    <w:rsid w:val="00AB6FE3"/>
    <w:rsid w:val="00AB70ED"/>
    <w:rsid w:val="00AC10B8"/>
    <w:rsid w:val="00AC15A1"/>
    <w:rsid w:val="00AC1E6D"/>
    <w:rsid w:val="00AC342D"/>
    <w:rsid w:val="00AD0495"/>
    <w:rsid w:val="00AD42F7"/>
    <w:rsid w:val="00AD51D3"/>
    <w:rsid w:val="00AD522D"/>
    <w:rsid w:val="00AD5BB0"/>
    <w:rsid w:val="00AD74F2"/>
    <w:rsid w:val="00AD75D3"/>
    <w:rsid w:val="00AE66AD"/>
    <w:rsid w:val="00AF46D1"/>
    <w:rsid w:val="00AF4951"/>
    <w:rsid w:val="00AF5A12"/>
    <w:rsid w:val="00B01E2B"/>
    <w:rsid w:val="00B0217F"/>
    <w:rsid w:val="00B05DFD"/>
    <w:rsid w:val="00B11882"/>
    <w:rsid w:val="00B205B6"/>
    <w:rsid w:val="00B24789"/>
    <w:rsid w:val="00B270B1"/>
    <w:rsid w:val="00B276EA"/>
    <w:rsid w:val="00B316A6"/>
    <w:rsid w:val="00B32C3B"/>
    <w:rsid w:val="00B35832"/>
    <w:rsid w:val="00B35E11"/>
    <w:rsid w:val="00B479D4"/>
    <w:rsid w:val="00B5181B"/>
    <w:rsid w:val="00B553D8"/>
    <w:rsid w:val="00B56CCE"/>
    <w:rsid w:val="00B60337"/>
    <w:rsid w:val="00B65523"/>
    <w:rsid w:val="00B6591A"/>
    <w:rsid w:val="00B675B2"/>
    <w:rsid w:val="00B70FA8"/>
    <w:rsid w:val="00B715ED"/>
    <w:rsid w:val="00B82826"/>
    <w:rsid w:val="00B84EC9"/>
    <w:rsid w:val="00B85F00"/>
    <w:rsid w:val="00B91B77"/>
    <w:rsid w:val="00B91E86"/>
    <w:rsid w:val="00B938FF"/>
    <w:rsid w:val="00B942F4"/>
    <w:rsid w:val="00BA114E"/>
    <w:rsid w:val="00BA1409"/>
    <w:rsid w:val="00BA2B62"/>
    <w:rsid w:val="00BA564E"/>
    <w:rsid w:val="00BB16F4"/>
    <w:rsid w:val="00BB1B40"/>
    <w:rsid w:val="00BD4D05"/>
    <w:rsid w:val="00BD5D4E"/>
    <w:rsid w:val="00BD7F99"/>
    <w:rsid w:val="00BE152D"/>
    <w:rsid w:val="00BE32D7"/>
    <w:rsid w:val="00BF1D14"/>
    <w:rsid w:val="00C056DE"/>
    <w:rsid w:val="00C1142B"/>
    <w:rsid w:val="00C1454E"/>
    <w:rsid w:val="00C1492D"/>
    <w:rsid w:val="00C14EF7"/>
    <w:rsid w:val="00C16D6D"/>
    <w:rsid w:val="00C20BE3"/>
    <w:rsid w:val="00C271FB"/>
    <w:rsid w:val="00C306F6"/>
    <w:rsid w:val="00C3201B"/>
    <w:rsid w:val="00C34CFE"/>
    <w:rsid w:val="00C4430A"/>
    <w:rsid w:val="00C45697"/>
    <w:rsid w:val="00C47943"/>
    <w:rsid w:val="00C47CC0"/>
    <w:rsid w:val="00C527CF"/>
    <w:rsid w:val="00C53D80"/>
    <w:rsid w:val="00C558F2"/>
    <w:rsid w:val="00C55F63"/>
    <w:rsid w:val="00C67161"/>
    <w:rsid w:val="00C676AD"/>
    <w:rsid w:val="00C70737"/>
    <w:rsid w:val="00C7212C"/>
    <w:rsid w:val="00C746B4"/>
    <w:rsid w:val="00C7512C"/>
    <w:rsid w:val="00C8284B"/>
    <w:rsid w:val="00C843B8"/>
    <w:rsid w:val="00C93AC7"/>
    <w:rsid w:val="00C93B23"/>
    <w:rsid w:val="00C93E8A"/>
    <w:rsid w:val="00C9520A"/>
    <w:rsid w:val="00CA0760"/>
    <w:rsid w:val="00CA5E15"/>
    <w:rsid w:val="00CB005A"/>
    <w:rsid w:val="00CB7530"/>
    <w:rsid w:val="00CC1151"/>
    <w:rsid w:val="00CC546D"/>
    <w:rsid w:val="00CD097F"/>
    <w:rsid w:val="00CE0956"/>
    <w:rsid w:val="00CE56C4"/>
    <w:rsid w:val="00CF0D45"/>
    <w:rsid w:val="00CF0FDB"/>
    <w:rsid w:val="00D01FB7"/>
    <w:rsid w:val="00D03848"/>
    <w:rsid w:val="00D0427B"/>
    <w:rsid w:val="00D046B9"/>
    <w:rsid w:val="00D10579"/>
    <w:rsid w:val="00D1536B"/>
    <w:rsid w:val="00D22DC9"/>
    <w:rsid w:val="00D24046"/>
    <w:rsid w:val="00D2468A"/>
    <w:rsid w:val="00D268D5"/>
    <w:rsid w:val="00D31ADA"/>
    <w:rsid w:val="00D32DE3"/>
    <w:rsid w:val="00D36F12"/>
    <w:rsid w:val="00D42834"/>
    <w:rsid w:val="00D5396F"/>
    <w:rsid w:val="00D539C7"/>
    <w:rsid w:val="00D62628"/>
    <w:rsid w:val="00D669B7"/>
    <w:rsid w:val="00D66FCF"/>
    <w:rsid w:val="00D77917"/>
    <w:rsid w:val="00D80B13"/>
    <w:rsid w:val="00D80FE2"/>
    <w:rsid w:val="00D81822"/>
    <w:rsid w:val="00D83892"/>
    <w:rsid w:val="00D85770"/>
    <w:rsid w:val="00D9665F"/>
    <w:rsid w:val="00DA7B75"/>
    <w:rsid w:val="00DB2F8E"/>
    <w:rsid w:val="00DB2FC9"/>
    <w:rsid w:val="00DC0BCF"/>
    <w:rsid w:val="00DC337C"/>
    <w:rsid w:val="00DC6BB6"/>
    <w:rsid w:val="00DD01F9"/>
    <w:rsid w:val="00DD334F"/>
    <w:rsid w:val="00DE0A49"/>
    <w:rsid w:val="00DE0E73"/>
    <w:rsid w:val="00DE5924"/>
    <w:rsid w:val="00DF1189"/>
    <w:rsid w:val="00DF4EEF"/>
    <w:rsid w:val="00DF7253"/>
    <w:rsid w:val="00E016E3"/>
    <w:rsid w:val="00E02970"/>
    <w:rsid w:val="00E04B84"/>
    <w:rsid w:val="00E055E7"/>
    <w:rsid w:val="00E06419"/>
    <w:rsid w:val="00E11839"/>
    <w:rsid w:val="00E201D2"/>
    <w:rsid w:val="00E20B16"/>
    <w:rsid w:val="00E20C12"/>
    <w:rsid w:val="00E21FB8"/>
    <w:rsid w:val="00E22E6C"/>
    <w:rsid w:val="00E279B1"/>
    <w:rsid w:val="00E31A8E"/>
    <w:rsid w:val="00E335D6"/>
    <w:rsid w:val="00E33DD8"/>
    <w:rsid w:val="00E46860"/>
    <w:rsid w:val="00E47FCC"/>
    <w:rsid w:val="00E609F8"/>
    <w:rsid w:val="00E61C2A"/>
    <w:rsid w:val="00E62C2E"/>
    <w:rsid w:val="00E63185"/>
    <w:rsid w:val="00E67DA4"/>
    <w:rsid w:val="00E715E1"/>
    <w:rsid w:val="00E73DF6"/>
    <w:rsid w:val="00E869FB"/>
    <w:rsid w:val="00E87580"/>
    <w:rsid w:val="00E91742"/>
    <w:rsid w:val="00E9596C"/>
    <w:rsid w:val="00E97881"/>
    <w:rsid w:val="00EA1E8A"/>
    <w:rsid w:val="00EA269B"/>
    <w:rsid w:val="00EA74E3"/>
    <w:rsid w:val="00EB2765"/>
    <w:rsid w:val="00EB2F86"/>
    <w:rsid w:val="00EB61AD"/>
    <w:rsid w:val="00EC1951"/>
    <w:rsid w:val="00EC7BF1"/>
    <w:rsid w:val="00ED242A"/>
    <w:rsid w:val="00ED43F8"/>
    <w:rsid w:val="00ED605C"/>
    <w:rsid w:val="00ED740D"/>
    <w:rsid w:val="00EE71DF"/>
    <w:rsid w:val="00EF0C14"/>
    <w:rsid w:val="00EF2F11"/>
    <w:rsid w:val="00EF409E"/>
    <w:rsid w:val="00EF6E91"/>
    <w:rsid w:val="00F0649F"/>
    <w:rsid w:val="00F07ADB"/>
    <w:rsid w:val="00F15244"/>
    <w:rsid w:val="00F201FE"/>
    <w:rsid w:val="00F207D5"/>
    <w:rsid w:val="00F20C51"/>
    <w:rsid w:val="00F23C73"/>
    <w:rsid w:val="00F24CEA"/>
    <w:rsid w:val="00F379C3"/>
    <w:rsid w:val="00F401C5"/>
    <w:rsid w:val="00F44EF1"/>
    <w:rsid w:val="00F5240D"/>
    <w:rsid w:val="00F606C0"/>
    <w:rsid w:val="00F7026C"/>
    <w:rsid w:val="00F72C52"/>
    <w:rsid w:val="00F75EA8"/>
    <w:rsid w:val="00F871ED"/>
    <w:rsid w:val="00F92EB3"/>
    <w:rsid w:val="00FA0F11"/>
    <w:rsid w:val="00FA135F"/>
    <w:rsid w:val="00FA15D4"/>
    <w:rsid w:val="00FA17A8"/>
    <w:rsid w:val="00FA4B42"/>
    <w:rsid w:val="00FB40A3"/>
    <w:rsid w:val="00FC06D2"/>
    <w:rsid w:val="00FC2C37"/>
    <w:rsid w:val="00FC604A"/>
    <w:rsid w:val="00FE066E"/>
    <w:rsid w:val="00FE07CA"/>
    <w:rsid w:val="00FE082A"/>
    <w:rsid w:val="00FE2599"/>
    <w:rsid w:val="00FE2920"/>
    <w:rsid w:val="00FE3232"/>
    <w:rsid w:val="00FE47B8"/>
    <w:rsid w:val="00FE5246"/>
    <w:rsid w:val="00FE570B"/>
    <w:rsid w:val="00FE5A1C"/>
    <w:rsid w:val="00FE7760"/>
    <w:rsid w:val="00FF5F70"/>
    <w:rsid w:val="0455D1D3"/>
    <w:rsid w:val="09C46BAB"/>
    <w:rsid w:val="0EF10E84"/>
    <w:rsid w:val="0F93BF1D"/>
    <w:rsid w:val="0FA7C713"/>
    <w:rsid w:val="128FB1EF"/>
    <w:rsid w:val="13CFD0C9"/>
    <w:rsid w:val="156F5FD0"/>
    <w:rsid w:val="1BBC210E"/>
    <w:rsid w:val="1E4F9091"/>
    <w:rsid w:val="1FCE2995"/>
    <w:rsid w:val="21C3C324"/>
    <w:rsid w:val="2411F5F6"/>
    <w:rsid w:val="2998BE79"/>
    <w:rsid w:val="2CF60442"/>
    <w:rsid w:val="2DC4B63E"/>
    <w:rsid w:val="2E2AECA4"/>
    <w:rsid w:val="2FCB8AA4"/>
    <w:rsid w:val="322761E0"/>
    <w:rsid w:val="35137E64"/>
    <w:rsid w:val="35EFE0EC"/>
    <w:rsid w:val="38C175D7"/>
    <w:rsid w:val="43D62EDD"/>
    <w:rsid w:val="44D7A0D2"/>
    <w:rsid w:val="475207D8"/>
    <w:rsid w:val="4E716B8E"/>
    <w:rsid w:val="5385ECC1"/>
    <w:rsid w:val="55CABC17"/>
    <w:rsid w:val="5946BC50"/>
    <w:rsid w:val="60E7F920"/>
    <w:rsid w:val="626C7B36"/>
    <w:rsid w:val="667255A3"/>
    <w:rsid w:val="6A006594"/>
    <w:rsid w:val="6F173EC8"/>
    <w:rsid w:val="749267A8"/>
    <w:rsid w:val="7C7C138D"/>
    <w:rsid w:val="7D3202CE"/>
    <w:rsid w:val="7E71AD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3B16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B4F"/>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552B4F"/>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AA12A1"/>
    <w:pPr>
      <w:keepNext/>
      <w:numPr>
        <w:ilvl w:val="1"/>
        <w:numId w:val="1"/>
      </w:numPr>
      <w:tabs>
        <w:tab w:val="clear" w:pos="3447"/>
        <w:tab w:val="num" w:pos="810"/>
      </w:tabs>
      <w:spacing w:before="240" w:after="60"/>
      <w:ind w:hanging="3447"/>
      <w:outlineLvl w:val="1"/>
    </w:pPr>
    <w:rPr>
      <w:rFonts w:ascii="Helvetica" w:eastAsia="MS Mincho" w:hAnsi="Helvetica" w:cs="Arial"/>
      <w:b/>
      <w:bCs/>
      <w:iCs/>
      <w:sz w:val="2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A7B75"/>
    <w:pPr>
      <w:keepNext/>
      <w:numPr>
        <w:ilvl w:val="2"/>
        <w:numId w:val="1"/>
      </w:numPr>
      <w:spacing w:before="240" w:after="60"/>
      <w:ind w:left="0" w:firstLine="540"/>
      <w:outlineLvl w:val="2"/>
    </w:pPr>
    <w:rPr>
      <w:rFonts w:ascii="Arial" w:eastAsia="MS Mincho" w:hAnsi="Arial" w:cs="Arial"/>
      <w:b/>
      <w:bCs/>
      <w:i/>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552B4F"/>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unhideWhenUsed/>
    <w:qFormat/>
    <w:rsid w:val="00700A09"/>
    <w:pPr>
      <w:keepNext/>
      <w:keepLines/>
      <w:spacing w:before="40"/>
      <w:ind w:firstLine="360"/>
      <w:outlineLvl w:val="4"/>
    </w:pPr>
    <w:rPr>
      <w:rFonts w:eastAsiaTheme="majorEastAsia"/>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52B4F"/>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AA12A1"/>
    <w:rPr>
      <w:rFonts w:ascii="Helvetica" w:eastAsia="MS Mincho" w:hAnsi="Helvetica" w:cs="Arial"/>
      <w:b/>
      <w:bCs/>
      <w:iCs/>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A7B75"/>
    <w:rPr>
      <w:rFonts w:ascii="Arial" w:eastAsia="MS Mincho" w:hAnsi="Arial" w:cs="Arial"/>
      <w:b/>
      <w:bCs/>
      <w:i/>
      <w:sz w:val="20"/>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52B4F"/>
    <w:rPr>
      <w:rFonts w:ascii="Times New Roman" w:eastAsia="MS Mincho" w:hAnsi="Times New Roman" w:cs="Times New Roman"/>
      <w:b/>
      <w:bCs/>
      <w:sz w:val="28"/>
      <w:szCs w:val="28"/>
    </w:rPr>
  </w:style>
  <w:style w:type="paragraph" w:styleId="BodyText">
    <w:name w:val="Body Text"/>
    <w:aliases w:val="bt"/>
    <w:basedOn w:val="Normal"/>
    <w:link w:val="BodyTextChar"/>
    <w:rsid w:val="00552B4F"/>
    <w:pPr>
      <w:spacing w:after="120"/>
      <w:jc w:val="both"/>
    </w:pPr>
    <w:rPr>
      <w:rFonts w:eastAsia="MS Mincho"/>
    </w:rPr>
  </w:style>
  <w:style w:type="character" w:customStyle="1" w:styleId="BodyTextChar">
    <w:name w:val="Body Text Char"/>
    <w:aliases w:val="bt Char"/>
    <w:basedOn w:val="DefaultParagraphFont"/>
    <w:link w:val="BodyText"/>
    <w:rsid w:val="00552B4F"/>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52B4F"/>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52B4F"/>
    <w:rPr>
      <w:rFonts w:ascii="Arial" w:eastAsia="MS Mincho" w:hAnsi="Arial" w:cs="Times New Roman"/>
      <w:b/>
      <w:sz w:val="20"/>
      <w:szCs w:val="24"/>
    </w:rPr>
  </w:style>
  <w:style w:type="paragraph" w:styleId="Footer">
    <w:name w:val="footer"/>
    <w:basedOn w:val="Normal"/>
    <w:link w:val="FooterChar"/>
    <w:uiPriority w:val="99"/>
    <w:unhideWhenUsed/>
    <w:rsid w:val="00552B4F"/>
    <w:pPr>
      <w:tabs>
        <w:tab w:val="center" w:pos="4680"/>
        <w:tab w:val="right" w:pos="9360"/>
      </w:tabs>
    </w:pPr>
  </w:style>
  <w:style w:type="character" w:customStyle="1" w:styleId="FooterChar">
    <w:name w:val="Footer Char"/>
    <w:basedOn w:val="DefaultParagraphFont"/>
    <w:link w:val="Footer"/>
    <w:uiPriority w:val="99"/>
    <w:rsid w:val="00552B4F"/>
    <w:rPr>
      <w:rFonts w:ascii="Times New Roman" w:eastAsia="Times New Roman" w:hAnsi="Times New Roman" w:cs="Times New Roman"/>
      <w:sz w:val="20"/>
      <w:szCs w:val="24"/>
    </w:rPr>
  </w:style>
  <w:style w:type="paragraph" w:styleId="Caption">
    <w:name w:val="caption"/>
    <w:basedOn w:val="Normal"/>
    <w:next w:val="Normal"/>
    <w:uiPriority w:val="35"/>
    <w:unhideWhenUsed/>
    <w:qFormat/>
    <w:rsid w:val="00552B4F"/>
    <w:pPr>
      <w:keepNext/>
      <w:spacing w:after="200"/>
      <w:jc w:val="center"/>
    </w:pPr>
    <w:rPr>
      <w:b/>
      <w:iCs/>
      <w:szCs w:val="18"/>
      <w:u w:val="single"/>
    </w:rPr>
  </w:style>
  <w:style w:type="character" w:styleId="CommentReference">
    <w:name w:val="annotation reference"/>
    <w:basedOn w:val="DefaultParagraphFont"/>
    <w:uiPriority w:val="99"/>
    <w:semiHidden/>
    <w:unhideWhenUsed/>
    <w:rsid w:val="00970DA6"/>
    <w:rPr>
      <w:sz w:val="16"/>
      <w:szCs w:val="16"/>
    </w:rPr>
  </w:style>
  <w:style w:type="paragraph" w:styleId="CommentText">
    <w:name w:val="annotation text"/>
    <w:basedOn w:val="Normal"/>
    <w:link w:val="CommentTextChar"/>
    <w:uiPriority w:val="99"/>
    <w:unhideWhenUsed/>
    <w:rsid w:val="00970DA6"/>
    <w:rPr>
      <w:szCs w:val="20"/>
    </w:rPr>
  </w:style>
  <w:style w:type="character" w:customStyle="1" w:styleId="CommentTextChar">
    <w:name w:val="Comment Text Char"/>
    <w:basedOn w:val="DefaultParagraphFont"/>
    <w:link w:val="CommentText"/>
    <w:uiPriority w:val="99"/>
    <w:rsid w:val="00970DA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70DA6"/>
    <w:rPr>
      <w:b/>
      <w:bCs/>
    </w:rPr>
  </w:style>
  <w:style w:type="character" w:customStyle="1" w:styleId="CommentSubjectChar">
    <w:name w:val="Comment Subject Char"/>
    <w:basedOn w:val="CommentTextChar"/>
    <w:link w:val="CommentSubject"/>
    <w:uiPriority w:val="99"/>
    <w:semiHidden/>
    <w:rsid w:val="00970DA6"/>
    <w:rPr>
      <w:rFonts w:ascii="Times New Roman" w:eastAsia="Times New Roman" w:hAnsi="Times New Roman" w:cs="Times New Roman"/>
      <w:b/>
      <w:bCs/>
      <w:sz w:val="20"/>
      <w:szCs w:val="20"/>
    </w:rPr>
  </w:style>
  <w:style w:type="table" w:styleId="TableGrid">
    <w:name w:val="Table Grid"/>
    <w:basedOn w:val="TableNormal"/>
    <w:uiPriority w:val="39"/>
    <w:rsid w:val="00E21F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8C160E"/>
    <w:rPr>
      <w:szCs w:val="20"/>
    </w:rPr>
  </w:style>
  <w:style w:type="character" w:customStyle="1" w:styleId="EndnoteTextChar">
    <w:name w:val="Endnote Text Char"/>
    <w:basedOn w:val="DefaultParagraphFont"/>
    <w:link w:val="EndnoteText"/>
    <w:uiPriority w:val="99"/>
    <w:semiHidden/>
    <w:rsid w:val="008C160E"/>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8C160E"/>
    <w:rPr>
      <w:vertAlign w:val="superscript"/>
    </w:rPr>
  </w:style>
  <w:style w:type="character" w:styleId="Hyperlink">
    <w:name w:val="Hyperlink"/>
    <w:rsid w:val="00F72C52"/>
    <w:rPr>
      <w:color w:val="0000FF"/>
      <w:u w:val="single"/>
    </w:rPr>
  </w:style>
  <w:style w:type="character" w:styleId="FollowedHyperlink">
    <w:name w:val="FollowedHyperlink"/>
    <w:basedOn w:val="DefaultParagraphFont"/>
    <w:uiPriority w:val="99"/>
    <w:semiHidden/>
    <w:unhideWhenUsed/>
    <w:rsid w:val="00F72C52"/>
    <w:rPr>
      <w:color w:val="954F72" w:themeColor="followedHyperlink"/>
      <w:u w:val="single"/>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リスト段落,목록 단락,Bullet list"/>
    <w:basedOn w:val="Normal"/>
    <w:link w:val="ListParagraphChar"/>
    <w:uiPriority w:val="34"/>
    <w:qFormat/>
    <w:rsid w:val="00F72C52"/>
    <w:pPr>
      <w:overflowPunct w:val="0"/>
      <w:autoSpaceDE w:val="0"/>
      <w:autoSpaceDN w:val="0"/>
      <w:adjustRightInd w:val="0"/>
      <w:spacing w:after="180"/>
      <w:ind w:firstLineChars="200" w:firstLine="420"/>
      <w:textAlignment w:val="baseline"/>
    </w:pPr>
    <w:rPr>
      <w:rFonts w:eastAsia="MS Mincho"/>
      <w:szCs w:val="20"/>
      <w:lang w:val="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72C52"/>
    <w:rPr>
      <w:rFonts w:ascii="Times New Roman" w:eastAsia="MS Mincho" w:hAnsi="Times New Roman" w:cs="Times New Roman"/>
      <w:sz w:val="20"/>
      <w:szCs w:val="20"/>
      <w:lang w:val="en-GB"/>
    </w:rPr>
  </w:style>
  <w:style w:type="character" w:styleId="UnresolvedMention">
    <w:name w:val="Unresolved Mention"/>
    <w:basedOn w:val="DefaultParagraphFont"/>
    <w:uiPriority w:val="99"/>
    <w:semiHidden/>
    <w:unhideWhenUsed/>
    <w:rsid w:val="00D046B9"/>
    <w:rPr>
      <w:color w:val="605E5C"/>
      <w:shd w:val="clear" w:color="auto" w:fill="E1DFDD"/>
    </w:rPr>
  </w:style>
  <w:style w:type="character" w:customStyle="1" w:styleId="Heading5Char">
    <w:name w:val="Heading 5 Char"/>
    <w:basedOn w:val="DefaultParagraphFont"/>
    <w:link w:val="Heading5"/>
    <w:uiPriority w:val="9"/>
    <w:rsid w:val="00700A09"/>
    <w:rPr>
      <w:rFonts w:ascii="Times New Roman" w:eastAsiaTheme="majorEastAsia" w:hAnsi="Times New Roman" w:cs="Times New Roman"/>
      <w:b/>
      <w:bCs/>
      <w:sz w:val="20"/>
      <w:szCs w:val="24"/>
      <w:u w:val="single"/>
    </w:rPr>
  </w:style>
  <w:style w:type="paragraph" w:customStyle="1" w:styleId="B2">
    <w:name w:val="B2"/>
    <w:basedOn w:val="Normal"/>
    <w:link w:val="B2Char"/>
    <w:qFormat/>
    <w:rsid w:val="00760381"/>
    <w:pPr>
      <w:spacing w:after="180"/>
      <w:ind w:left="851" w:hanging="284"/>
    </w:pPr>
    <w:rPr>
      <w:szCs w:val="20"/>
      <w:lang w:val="x-none"/>
    </w:rPr>
  </w:style>
  <w:style w:type="paragraph" w:customStyle="1" w:styleId="B3">
    <w:name w:val="B3"/>
    <w:basedOn w:val="Normal"/>
    <w:link w:val="B3Char"/>
    <w:rsid w:val="00760381"/>
    <w:pPr>
      <w:spacing w:after="180"/>
      <w:ind w:left="1135" w:hanging="284"/>
    </w:pPr>
    <w:rPr>
      <w:szCs w:val="20"/>
      <w:lang w:val="en-GB"/>
    </w:rPr>
  </w:style>
  <w:style w:type="character" w:customStyle="1" w:styleId="B2Char">
    <w:name w:val="B2 Char"/>
    <w:link w:val="B2"/>
    <w:qFormat/>
    <w:rsid w:val="00760381"/>
    <w:rPr>
      <w:rFonts w:ascii="Times New Roman" w:eastAsia="Times New Roman" w:hAnsi="Times New Roman" w:cs="Times New Roman"/>
      <w:sz w:val="20"/>
      <w:szCs w:val="20"/>
      <w:lang w:val="x-none"/>
    </w:rPr>
  </w:style>
  <w:style w:type="character" w:customStyle="1" w:styleId="B3Char">
    <w:name w:val="B3 Char"/>
    <w:link w:val="B3"/>
    <w:rsid w:val="00760381"/>
    <w:rPr>
      <w:rFonts w:ascii="Times New Roman" w:eastAsia="Times New Roman" w:hAnsi="Times New Roman" w:cs="Times New Roman"/>
      <w:sz w:val="20"/>
      <w:szCs w:val="20"/>
      <w:lang w:val="en-GB"/>
    </w:rPr>
  </w:style>
  <w:style w:type="paragraph" w:styleId="FootnoteText">
    <w:name w:val="footnote text"/>
    <w:basedOn w:val="Normal"/>
    <w:link w:val="FootnoteTextChar"/>
    <w:uiPriority w:val="99"/>
    <w:semiHidden/>
    <w:unhideWhenUsed/>
    <w:rsid w:val="009B331A"/>
    <w:rPr>
      <w:szCs w:val="20"/>
    </w:rPr>
  </w:style>
  <w:style w:type="character" w:customStyle="1" w:styleId="FootnoteTextChar">
    <w:name w:val="Footnote Text Char"/>
    <w:basedOn w:val="DefaultParagraphFont"/>
    <w:link w:val="FootnoteText"/>
    <w:uiPriority w:val="99"/>
    <w:semiHidden/>
    <w:rsid w:val="009B331A"/>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9B331A"/>
    <w:rPr>
      <w:vertAlign w:val="superscript"/>
    </w:rPr>
  </w:style>
  <w:style w:type="paragraph" w:customStyle="1" w:styleId="CRCoverPage">
    <w:name w:val="CR Cover Page"/>
    <w:rsid w:val="00075714"/>
    <w:pPr>
      <w:spacing w:after="120" w:line="240" w:lineRule="auto"/>
    </w:pPr>
    <w:rPr>
      <w:rFonts w:ascii="Arial" w:eastAsia="SimSun" w:hAnsi="Arial" w:cs="Times New Roman"/>
      <w:sz w:val="20"/>
      <w:szCs w:val="20"/>
      <w:lang w:val="en-GB"/>
    </w:rPr>
  </w:style>
  <w:style w:type="paragraph" w:customStyle="1" w:styleId="B4">
    <w:name w:val="B4"/>
    <w:basedOn w:val="Normal"/>
    <w:rsid w:val="00895CB4"/>
    <w:pPr>
      <w:spacing w:after="180"/>
      <w:ind w:left="1418" w:hanging="284"/>
    </w:pPr>
    <w:rPr>
      <w:szCs w:val="20"/>
      <w:lang w:val="en-GB"/>
    </w:rPr>
  </w:style>
  <w:style w:type="paragraph" w:customStyle="1" w:styleId="3GPPNormalText">
    <w:name w:val="3GPP Normal Text"/>
    <w:basedOn w:val="BodyText"/>
    <w:link w:val="3GPPNormalTextChar"/>
    <w:qFormat/>
    <w:rsid w:val="00895CB4"/>
    <w:pPr>
      <w:tabs>
        <w:tab w:val="left" w:pos="1440"/>
      </w:tabs>
      <w:ind w:left="1440" w:hanging="1440"/>
    </w:pPr>
    <w:rPr>
      <w:sz w:val="22"/>
      <w:lang w:eastAsia="zh-CN"/>
    </w:rPr>
  </w:style>
  <w:style w:type="character" w:customStyle="1" w:styleId="3GPPNormalTextChar">
    <w:name w:val="3GPP Normal Text Char"/>
    <w:link w:val="3GPPNormalText"/>
    <w:rsid w:val="00895CB4"/>
    <w:rPr>
      <w:rFonts w:ascii="Times New Roman" w:eastAsia="MS Mincho" w:hAnsi="Times New Roman" w:cs="Times New Roman"/>
      <w:szCs w:val="24"/>
      <w:lang w:eastAsia="zh-CN"/>
    </w:rPr>
  </w:style>
  <w:style w:type="paragraph" w:customStyle="1" w:styleId="B1">
    <w:name w:val="B1"/>
    <w:basedOn w:val="Normal"/>
    <w:link w:val="B1Zchn"/>
    <w:qFormat/>
    <w:rsid w:val="00BD7F99"/>
    <w:pPr>
      <w:spacing w:after="180"/>
      <w:ind w:left="568" w:hanging="284"/>
    </w:pPr>
    <w:rPr>
      <w:rFonts w:eastAsia="SimSun"/>
      <w:szCs w:val="20"/>
      <w:lang w:val="x-none"/>
    </w:rPr>
  </w:style>
  <w:style w:type="character" w:customStyle="1" w:styleId="B1Zchn">
    <w:name w:val="B1 Zchn"/>
    <w:link w:val="B1"/>
    <w:qFormat/>
    <w:rsid w:val="00BD7F99"/>
    <w:rPr>
      <w:rFonts w:ascii="Times New Roman" w:eastAsia="SimSun" w:hAnsi="Times New Roman" w:cs="Times New Roman"/>
      <w:sz w:val="20"/>
      <w:szCs w:val="20"/>
      <w:lang w:val="x-none"/>
    </w:rPr>
  </w:style>
  <w:style w:type="paragraph" w:styleId="Revision">
    <w:name w:val="Revision"/>
    <w:hidden/>
    <w:uiPriority w:val="99"/>
    <w:semiHidden/>
    <w:rsid w:val="00E335D6"/>
    <w:pPr>
      <w:spacing w:after="0" w:line="240" w:lineRule="auto"/>
    </w:pPr>
    <w:rPr>
      <w:rFonts w:ascii="Times New Roman" w:eastAsia="Times New Roman" w:hAnsi="Times New Roman" w:cs="Times New Roman"/>
      <w:sz w:val="20"/>
      <w:szCs w:val="24"/>
    </w:rPr>
  </w:style>
  <w:style w:type="character" w:customStyle="1" w:styleId="B1Char1">
    <w:name w:val="B1 Char1"/>
    <w:qFormat/>
    <w:locked/>
    <w:rsid w:val="00DD334F"/>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80023">
      <w:bodyDiv w:val="1"/>
      <w:marLeft w:val="0"/>
      <w:marRight w:val="0"/>
      <w:marTop w:val="0"/>
      <w:marBottom w:val="0"/>
      <w:divBdr>
        <w:top w:val="none" w:sz="0" w:space="0" w:color="auto"/>
        <w:left w:val="none" w:sz="0" w:space="0" w:color="auto"/>
        <w:bottom w:val="none" w:sz="0" w:space="0" w:color="auto"/>
        <w:right w:val="none" w:sz="0" w:space="0" w:color="auto"/>
      </w:divBdr>
    </w:div>
    <w:div w:id="155078784">
      <w:bodyDiv w:val="1"/>
      <w:marLeft w:val="0"/>
      <w:marRight w:val="0"/>
      <w:marTop w:val="0"/>
      <w:marBottom w:val="0"/>
      <w:divBdr>
        <w:top w:val="none" w:sz="0" w:space="0" w:color="auto"/>
        <w:left w:val="none" w:sz="0" w:space="0" w:color="auto"/>
        <w:bottom w:val="none" w:sz="0" w:space="0" w:color="auto"/>
        <w:right w:val="none" w:sz="0" w:space="0" w:color="auto"/>
      </w:divBdr>
    </w:div>
    <w:div w:id="220756672">
      <w:bodyDiv w:val="1"/>
      <w:marLeft w:val="0"/>
      <w:marRight w:val="0"/>
      <w:marTop w:val="0"/>
      <w:marBottom w:val="0"/>
      <w:divBdr>
        <w:top w:val="none" w:sz="0" w:space="0" w:color="auto"/>
        <w:left w:val="none" w:sz="0" w:space="0" w:color="auto"/>
        <w:bottom w:val="none" w:sz="0" w:space="0" w:color="auto"/>
        <w:right w:val="none" w:sz="0" w:space="0" w:color="auto"/>
      </w:divBdr>
    </w:div>
    <w:div w:id="249046166">
      <w:bodyDiv w:val="1"/>
      <w:marLeft w:val="0"/>
      <w:marRight w:val="0"/>
      <w:marTop w:val="0"/>
      <w:marBottom w:val="0"/>
      <w:divBdr>
        <w:top w:val="none" w:sz="0" w:space="0" w:color="auto"/>
        <w:left w:val="none" w:sz="0" w:space="0" w:color="auto"/>
        <w:bottom w:val="none" w:sz="0" w:space="0" w:color="auto"/>
        <w:right w:val="none" w:sz="0" w:space="0" w:color="auto"/>
      </w:divBdr>
    </w:div>
    <w:div w:id="336231957">
      <w:bodyDiv w:val="1"/>
      <w:marLeft w:val="0"/>
      <w:marRight w:val="0"/>
      <w:marTop w:val="0"/>
      <w:marBottom w:val="0"/>
      <w:divBdr>
        <w:top w:val="none" w:sz="0" w:space="0" w:color="auto"/>
        <w:left w:val="none" w:sz="0" w:space="0" w:color="auto"/>
        <w:bottom w:val="none" w:sz="0" w:space="0" w:color="auto"/>
        <w:right w:val="none" w:sz="0" w:space="0" w:color="auto"/>
      </w:divBdr>
    </w:div>
    <w:div w:id="411853840">
      <w:bodyDiv w:val="1"/>
      <w:marLeft w:val="0"/>
      <w:marRight w:val="0"/>
      <w:marTop w:val="0"/>
      <w:marBottom w:val="0"/>
      <w:divBdr>
        <w:top w:val="none" w:sz="0" w:space="0" w:color="auto"/>
        <w:left w:val="none" w:sz="0" w:space="0" w:color="auto"/>
        <w:bottom w:val="none" w:sz="0" w:space="0" w:color="auto"/>
        <w:right w:val="none" w:sz="0" w:space="0" w:color="auto"/>
      </w:divBdr>
    </w:div>
    <w:div w:id="438724986">
      <w:bodyDiv w:val="1"/>
      <w:marLeft w:val="0"/>
      <w:marRight w:val="0"/>
      <w:marTop w:val="0"/>
      <w:marBottom w:val="0"/>
      <w:divBdr>
        <w:top w:val="none" w:sz="0" w:space="0" w:color="auto"/>
        <w:left w:val="none" w:sz="0" w:space="0" w:color="auto"/>
        <w:bottom w:val="none" w:sz="0" w:space="0" w:color="auto"/>
        <w:right w:val="none" w:sz="0" w:space="0" w:color="auto"/>
      </w:divBdr>
    </w:div>
    <w:div w:id="463931479">
      <w:bodyDiv w:val="1"/>
      <w:marLeft w:val="0"/>
      <w:marRight w:val="0"/>
      <w:marTop w:val="0"/>
      <w:marBottom w:val="0"/>
      <w:divBdr>
        <w:top w:val="none" w:sz="0" w:space="0" w:color="auto"/>
        <w:left w:val="none" w:sz="0" w:space="0" w:color="auto"/>
        <w:bottom w:val="none" w:sz="0" w:space="0" w:color="auto"/>
        <w:right w:val="none" w:sz="0" w:space="0" w:color="auto"/>
      </w:divBdr>
    </w:div>
    <w:div w:id="480541123">
      <w:bodyDiv w:val="1"/>
      <w:marLeft w:val="0"/>
      <w:marRight w:val="0"/>
      <w:marTop w:val="0"/>
      <w:marBottom w:val="0"/>
      <w:divBdr>
        <w:top w:val="none" w:sz="0" w:space="0" w:color="auto"/>
        <w:left w:val="none" w:sz="0" w:space="0" w:color="auto"/>
        <w:bottom w:val="none" w:sz="0" w:space="0" w:color="auto"/>
        <w:right w:val="none" w:sz="0" w:space="0" w:color="auto"/>
      </w:divBdr>
    </w:div>
    <w:div w:id="538903201">
      <w:bodyDiv w:val="1"/>
      <w:marLeft w:val="0"/>
      <w:marRight w:val="0"/>
      <w:marTop w:val="0"/>
      <w:marBottom w:val="0"/>
      <w:divBdr>
        <w:top w:val="none" w:sz="0" w:space="0" w:color="auto"/>
        <w:left w:val="none" w:sz="0" w:space="0" w:color="auto"/>
        <w:bottom w:val="none" w:sz="0" w:space="0" w:color="auto"/>
        <w:right w:val="none" w:sz="0" w:space="0" w:color="auto"/>
      </w:divBdr>
    </w:div>
    <w:div w:id="925964465">
      <w:bodyDiv w:val="1"/>
      <w:marLeft w:val="0"/>
      <w:marRight w:val="0"/>
      <w:marTop w:val="0"/>
      <w:marBottom w:val="0"/>
      <w:divBdr>
        <w:top w:val="none" w:sz="0" w:space="0" w:color="auto"/>
        <w:left w:val="none" w:sz="0" w:space="0" w:color="auto"/>
        <w:bottom w:val="none" w:sz="0" w:space="0" w:color="auto"/>
        <w:right w:val="none" w:sz="0" w:space="0" w:color="auto"/>
      </w:divBdr>
    </w:div>
    <w:div w:id="1211654528">
      <w:bodyDiv w:val="1"/>
      <w:marLeft w:val="0"/>
      <w:marRight w:val="0"/>
      <w:marTop w:val="0"/>
      <w:marBottom w:val="0"/>
      <w:divBdr>
        <w:top w:val="none" w:sz="0" w:space="0" w:color="auto"/>
        <w:left w:val="none" w:sz="0" w:space="0" w:color="auto"/>
        <w:bottom w:val="none" w:sz="0" w:space="0" w:color="auto"/>
        <w:right w:val="none" w:sz="0" w:space="0" w:color="auto"/>
      </w:divBdr>
    </w:div>
    <w:div w:id="1227642593">
      <w:bodyDiv w:val="1"/>
      <w:marLeft w:val="0"/>
      <w:marRight w:val="0"/>
      <w:marTop w:val="0"/>
      <w:marBottom w:val="0"/>
      <w:divBdr>
        <w:top w:val="none" w:sz="0" w:space="0" w:color="auto"/>
        <w:left w:val="none" w:sz="0" w:space="0" w:color="auto"/>
        <w:bottom w:val="none" w:sz="0" w:space="0" w:color="auto"/>
        <w:right w:val="none" w:sz="0" w:space="0" w:color="auto"/>
      </w:divBdr>
    </w:div>
    <w:div w:id="1273514624">
      <w:bodyDiv w:val="1"/>
      <w:marLeft w:val="0"/>
      <w:marRight w:val="0"/>
      <w:marTop w:val="0"/>
      <w:marBottom w:val="0"/>
      <w:divBdr>
        <w:top w:val="none" w:sz="0" w:space="0" w:color="auto"/>
        <w:left w:val="none" w:sz="0" w:space="0" w:color="auto"/>
        <w:bottom w:val="none" w:sz="0" w:space="0" w:color="auto"/>
        <w:right w:val="none" w:sz="0" w:space="0" w:color="auto"/>
      </w:divBdr>
    </w:div>
    <w:div w:id="1302886141">
      <w:bodyDiv w:val="1"/>
      <w:marLeft w:val="0"/>
      <w:marRight w:val="0"/>
      <w:marTop w:val="0"/>
      <w:marBottom w:val="0"/>
      <w:divBdr>
        <w:top w:val="none" w:sz="0" w:space="0" w:color="auto"/>
        <w:left w:val="none" w:sz="0" w:space="0" w:color="auto"/>
        <w:bottom w:val="none" w:sz="0" w:space="0" w:color="auto"/>
        <w:right w:val="none" w:sz="0" w:space="0" w:color="auto"/>
      </w:divBdr>
    </w:div>
    <w:div w:id="1339888808">
      <w:bodyDiv w:val="1"/>
      <w:marLeft w:val="0"/>
      <w:marRight w:val="0"/>
      <w:marTop w:val="0"/>
      <w:marBottom w:val="0"/>
      <w:divBdr>
        <w:top w:val="none" w:sz="0" w:space="0" w:color="auto"/>
        <w:left w:val="none" w:sz="0" w:space="0" w:color="auto"/>
        <w:bottom w:val="none" w:sz="0" w:space="0" w:color="auto"/>
        <w:right w:val="none" w:sz="0" w:space="0" w:color="auto"/>
      </w:divBdr>
    </w:div>
    <w:div w:id="1355375276">
      <w:bodyDiv w:val="1"/>
      <w:marLeft w:val="0"/>
      <w:marRight w:val="0"/>
      <w:marTop w:val="0"/>
      <w:marBottom w:val="0"/>
      <w:divBdr>
        <w:top w:val="none" w:sz="0" w:space="0" w:color="auto"/>
        <w:left w:val="none" w:sz="0" w:space="0" w:color="auto"/>
        <w:bottom w:val="none" w:sz="0" w:space="0" w:color="auto"/>
        <w:right w:val="none" w:sz="0" w:space="0" w:color="auto"/>
      </w:divBdr>
    </w:div>
    <w:div w:id="1477068789">
      <w:bodyDiv w:val="1"/>
      <w:marLeft w:val="0"/>
      <w:marRight w:val="0"/>
      <w:marTop w:val="0"/>
      <w:marBottom w:val="0"/>
      <w:divBdr>
        <w:top w:val="none" w:sz="0" w:space="0" w:color="auto"/>
        <w:left w:val="none" w:sz="0" w:space="0" w:color="auto"/>
        <w:bottom w:val="none" w:sz="0" w:space="0" w:color="auto"/>
        <w:right w:val="none" w:sz="0" w:space="0" w:color="auto"/>
      </w:divBdr>
    </w:div>
    <w:div w:id="1665695639">
      <w:bodyDiv w:val="1"/>
      <w:marLeft w:val="0"/>
      <w:marRight w:val="0"/>
      <w:marTop w:val="0"/>
      <w:marBottom w:val="0"/>
      <w:divBdr>
        <w:top w:val="none" w:sz="0" w:space="0" w:color="auto"/>
        <w:left w:val="none" w:sz="0" w:space="0" w:color="auto"/>
        <w:bottom w:val="none" w:sz="0" w:space="0" w:color="auto"/>
        <w:right w:val="none" w:sz="0" w:space="0" w:color="auto"/>
      </w:divBdr>
    </w:div>
    <w:div w:id="1713267356">
      <w:bodyDiv w:val="1"/>
      <w:marLeft w:val="0"/>
      <w:marRight w:val="0"/>
      <w:marTop w:val="0"/>
      <w:marBottom w:val="0"/>
      <w:divBdr>
        <w:top w:val="none" w:sz="0" w:space="0" w:color="auto"/>
        <w:left w:val="none" w:sz="0" w:space="0" w:color="auto"/>
        <w:bottom w:val="none" w:sz="0" w:space="0" w:color="auto"/>
        <w:right w:val="none" w:sz="0" w:space="0" w:color="auto"/>
      </w:divBdr>
    </w:div>
    <w:div w:id="1886015397">
      <w:bodyDiv w:val="1"/>
      <w:marLeft w:val="0"/>
      <w:marRight w:val="0"/>
      <w:marTop w:val="0"/>
      <w:marBottom w:val="0"/>
      <w:divBdr>
        <w:top w:val="none" w:sz="0" w:space="0" w:color="auto"/>
        <w:left w:val="none" w:sz="0" w:space="0" w:color="auto"/>
        <w:bottom w:val="none" w:sz="0" w:space="0" w:color="auto"/>
        <w:right w:val="none" w:sz="0" w:space="0" w:color="auto"/>
      </w:divBdr>
    </w:div>
    <w:div w:id="1945379978">
      <w:bodyDiv w:val="1"/>
      <w:marLeft w:val="0"/>
      <w:marRight w:val="0"/>
      <w:marTop w:val="0"/>
      <w:marBottom w:val="0"/>
      <w:divBdr>
        <w:top w:val="none" w:sz="0" w:space="0" w:color="auto"/>
        <w:left w:val="none" w:sz="0" w:space="0" w:color="auto"/>
        <w:bottom w:val="none" w:sz="0" w:space="0" w:color="auto"/>
        <w:right w:val="none" w:sz="0" w:space="0" w:color="auto"/>
      </w:divBdr>
    </w:div>
    <w:div w:id="2061008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CD8F416-1AEB-46CC-87B0-8B845DB1B474}">
  <ds:schemaRefs>
    <ds:schemaRef ds:uri="http://schemas.openxmlformats.org/officeDocument/2006/bibliography"/>
  </ds:schemaRefs>
</ds:datastoreItem>
</file>

<file path=customXml/itemProps2.xml><?xml version="1.0" encoding="utf-8"?>
<ds:datastoreItem xmlns:ds="http://schemas.openxmlformats.org/officeDocument/2006/customXml" ds:itemID="{ABD1102F-C6A4-4E8F-8497-07027B3B69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4DE04D-5A94-4F74-AA2B-4F08357B73AD}">
  <ds:schemaRefs>
    <ds:schemaRef ds:uri="http://schemas.microsoft.com/sharepoint/v3/contenttype/forms"/>
  </ds:schemaRefs>
</ds:datastoreItem>
</file>

<file path=customXml/itemProps4.xml><?xml version="1.0" encoding="utf-8"?>
<ds:datastoreItem xmlns:ds="http://schemas.openxmlformats.org/officeDocument/2006/customXml" ds:itemID="{D2A50B11-4D91-4383-ADE4-AD340D657DD3}">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2052</Words>
  <Characters>11701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2023-04-07T22:04:00Z</dcterms:created>
  <dcterms:modified xsi:type="dcterms:W3CDTF">2023-04-07T22:06:00Z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